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BBEB" w14:textId="77777777" w:rsidR="00FD36FE" w:rsidRPr="00421011" w:rsidRDefault="00FD36FE" w:rsidP="00FD36FE">
      <w:pPr>
        <w:pStyle w:val="PCHeading1"/>
      </w:pPr>
      <w:r w:rsidRPr="00421011">
        <w:rPr>
          <w:bCs/>
        </w:rPr>
        <w:t>Privacy Notice</w:t>
      </w:r>
      <w:r w:rsidRPr="00421011">
        <w:t xml:space="preserve"> – UHI Perth Language School</w:t>
      </w:r>
    </w:p>
    <w:p w14:paraId="6B039A0E" w14:textId="77777777" w:rsidR="00FD36FE" w:rsidRPr="00421011" w:rsidRDefault="00FD36FE" w:rsidP="00FD36FE">
      <w:pPr>
        <w:pStyle w:val="PCBodyText"/>
        <w:rPr>
          <w:bCs/>
          <w:color w:val="auto"/>
        </w:rPr>
      </w:pPr>
    </w:p>
    <w:p w14:paraId="2AAF17BD" w14:textId="02982E27" w:rsidR="00FD36FE" w:rsidRPr="00421011" w:rsidRDefault="00FD36FE" w:rsidP="00FD36FE">
      <w:pPr>
        <w:pStyle w:val="PCBodyText"/>
        <w:rPr>
          <w:bCs/>
          <w:color w:val="auto"/>
        </w:rPr>
      </w:pPr>
      <w:r w:rsidRPr="00421011">
        <w:rPr>
          <w:bCs/>
          <w:color w:val="auto"/>
        </w:rPr>
        <w:t xml:space="preserve">The Data Controller of the information being collected is: UHI Perth, Crieff Road, Perth, PH1 2NX.  </w:t>
      </w:r>
    </w:p>
    <w:p w14:paraId="1A2E80C2" w14:textId="381FD17B" w:rsidR="00FD36FE" w:rsidRPr="00421011" w:rsidRDefault="00FD36FE" w:rsidP="00FD36FE">
      <w:pPr>
        <w:pStyle w:val="PCBodyText"/>
        <w:rPr>
          <w:rStyle w:val="Hyperlink"/>
          <w:b/>
          <w:color w:val="auto"/>
          <w:u w:val="none"/>
        </w:rPr>
      </w:pPr>
      <w:r w:rsidRPr="00421011">
        <w:rPr>
          <w:bCs/>
          <w:color w:val="auto"/>
        </w:rPr>
        <w:t xml:space="preserve">For any queries or concerns about how your personal data is being processed you can contact the relevant Data Protection Officer at:  </w:t>
      </w:r>
      <w:hyperlink r:id="rId10">
        <w:r w:rsidRPr="00421011">
          <w:rPr>
            <w:rStyle w:val="Hyperlink"/>
            <w:b/>
            <w:bCs/>
            <w:color w:val="auto"/>
            <w:u w:val="none"/>
          </w:rPr>
          <w:t>dataprotectionofficer@uhi.ac.uk</w:t>
        </w:r>
      </w:hyperlink>
      <w:r w:rsidRPr="00421011">
        <w:rPr>
          <w:bCs/>
          <w:color w:val="auto"/>
        </w:rPr>
        <w:t xml:space="preserve"> or our local Data Protection Lead at:  </w:t>
      </w:r>
      <w:hyperlink r:id="rId11" w:history="1">
        <w:r w:rsidRPr="00421011">
          <w:rPr>
            <w:rStyle w:val="Hyperlink"/>
            <w:b/>
            <w:bCs/>
            <w:color w:val="auto"/>
            <w:u w:val="none"/>
          </w:rPr>
          <w:t>dataprotection.perth@uhi.ac.uk</w:t>
        </w:r>
      </w:hyperlink>
    </w:p>
    <w:p w14:paraId="13FDEF51" w14:textId="77777777" w:rsidR="00FD36FE" w:rsidRPr="00421011" w:rsidRDefault="00FD36FE" w:rsidP="00FD36FE">
      <w:pPr>
        <w:pStyle w:val="PCBodyText"/>
        <w:rPr>
          <w:bCs/>
          <w:color w:val="auto"/>
        </w:rPr>
      </w:pPr>
    </w:p>
    <w:p w14:paraId="050E56D1" w14:textId="37B41E5F" w:rsidR="00FD36FE" w:rsidRPr="00421011" w:rsidRDefault="00FD36FE" w:rsidP="00FD36FE">
      <w:pPr>
        <w:pStyle w:val="PCBodyText"/>
        <w:rPr>
          <w:b/>
          <w:color w:val="auto"/>
        </w:rPr>
      </w:pPr>
      <w:r w:rsidRPr="00421011">
        <w:rPr>
          <w:b/>
          <w:color w:val="auto"/>
        </w:rPr>
        <w:t>This privacy statement relates to the following process:</w:t>
      </w:r>
    </w:p>
    <w:p w14:paraId="20D82891" w14:textId="77777777" w:rsidR="00FD36FE" w:rsidRPr="00421011" w:rsidRDefault="00FD36FE" w:rsidP="00FD36FE">
      <w:pPr>
        <w:pStyle w:val="PCBodyText"/>
        <w:rPr>
          <w:color w:val="auto"/>
        </w:rPr>
      </w:pPr>
    </w:p>
    <w:tbl>
      <w:tblPr>
        <w:tblStyle w:val="TableGrid"/>
        <w:tblW w:w="0" w:type="auto"/>
        <w:tblInd w:w="-95" w:type="dxa"/>
        <w:tblCellMar>
          <w:top w:w="29" w:type="dxa"/>
          <w:bottom w:w="29" w:type="dxa"/>
        </w:tblCellMar>
        <w:tblLook w:val="04A0" w:firstRow="1" w:lastRow="0" w:firstColumn="1" w:lastColumn="0" w:noHBand="0" w:noVBand="1"/>
      </w:tblPr>
      <w:tblGrid>
        <w:gridCol w:w="10291"/>
      </w:tblGrid>
      <w:tr w:rsidR="00421011" w:rsidRPr="00421011" w14:paraId="2CE59A8E" w14:textId="77777777" w:rsidTr="00FD36FE">
        <w:trPr>
          <w:trHeight w:val="2144"/>
        </w:trPr>
        <w:tc>
          <w:tcPr>
            <w:tcW w:w="10291" w:type="dxa"/>
            <w:vAlign w:val="center"/>
          </w:tcPr>
          <w:p w14:paraId="25101355" w14:textId="77777777" w:rsidR="00FD36FE" w:rsidRPr="00421011" w:rsidRDefault="00FD36FE" w:rsidP="00FD36FE">
            <w:pPr>
              <w:pStyle w:val="PCBodyText"/>
              <w:rPr>
                <w:b/>
                <w:bCs/>
                <w:color w:val="auto"/>
              </w:rPr>
            </w:pPr>
            <w:r w:rsidRPr="00421011">
              <w:rPr>
                <w:b/>
                <w:bCs/>
                <w:color w:val="auto"/>
              </w:rPr>
              <w:t>Language School</w:t>
            </w:r>
          </w:p>
          <w:p w14:paraId="6C190283" w14:textId="77777777" w:rsidR="00FD36FE" w:rsidRPr="00421011" w:rsidRDefault="00FD36FE" w:rsidP="00FD36FE">
            <w:pPr>
              <w:pStyle w:val="PCBodyText"/>
              <w:rPr>
                <w:color w:val="auto"/>
              </w:rPr>
            </w:pPr>
          </w:p>
          <w:p w14:paraId="04F101FB" w14:textId="000572FD" w:rsidR="00FD36FE" w:rsidRPr="00421011" w:rsidRDefault="00FD36FE" w:rsidP="00FD36FE">
            <w:pPr>
              <w:pStyle w:val="PCBodyText"/>
              <w:rPr>
                <w:color w:val="auto"/>
              </w:rPr>
            </w:pPr>
            <w:r w:rsidRPr="00421011">
              <w:rPr>
                <w:color w:val="auto"/>
              </w:rPr>
              <w:t>This process confirms your application for a short course or other initiative within the UHI Perth Language School and details why we collect information from you, what we do with the information we collect, who we may share your information with and your rights under the Data Protection Act 2018 and the UK General Data Protection Regulation (GDPR) in relation to that information.</w:t>
            </w:r>
          </w:p>
        </w:tc>
      </w:tr>
    </w:tbl>
    <w:p w14:paraId="1449B6FE" w14:textId="77777777" w:rsidR="00FD36FE" w:rsidRPr="00421011" w:rsidRDefault="00FD36FE" w:rsidP="00FD36FE">
      <w:pPr>
        <w:pStyle w:val="PCBodyText"/>
        <w:rPr>
          <w:color w:val="auto"/>
        </w:rPr>
      </w:pPr>
    </w:p>
    <w:p w14:paraId="6AFDE0EC" w14:textId="48B03A74" w:rsidR="00FD36FE" w:rsidRPr="00421011" w:rsidRDefault="00FD36FE" w:rsidP="00FD36FE">
      <w:pPr>
        <w:pStyle w:val="PCBodyText"/>
        <w:rPr>
          <w:b/>
          <w:color w:val="auto"/>
        </w:rPr>
      </w:pPr>
      <w:r w:rsidRPr="00421011">
        <w:rPr>
          <w:b/>
          <w:color w:val="auto"/>
        </w:rPr>
        <w:t>Your information will be used for the following purposes:</w:t>
      </w:r>
    </w:p>
    <w:p w14:paraId="2BBF56AC" w14:textId="77777777" w:rsidR="00FD36FE" w:rsidRPr="00421011" w:rsidRDefault="00FD36FE" w:rsidP="00FD36FE">
      <w:pPr>
        <w:pStyle w:val="PCBodyText"/>
        <w:rPr>
          <w:bCs/>
          <w:color w:val="auto"/>
        </w:rPr>
      </w:pPr>
    </w:p>
    <w:tbl>
      <w:tblPr>
        <w:tblStyle w:val="TableGrid"/>
        <w:tblW w:w="10260" w:type="dxa"/>
        <w:tblInd w:w="-95" w:type="dxa"/>
        <w:tblLayout w:type="fixed"/>
        <w:tblCellMar>
          <w:top w:w="29" w:type="dxa"/>
          <w:bottom w:w="29" w:type="dxa"/>
        </w:tblCellMar>
        <w:tblLook w:val="06A0" w:firstRow="1" w:lastRow="0" w:firstColumn="1" w:lastColumn="0" w:noHBand="1" w:noVBand="1"/>
      </w:tblPr>
      <w:tblGrid>
        <w:gridCol w:w="2784"/>
        <w:gridCol w:w="7476"/>
      </w:tblGrid>
      <w:tr w:rsidR="00421011" w:rsidRPr="00421011" w14:paraId="2827C6FC" w14:textId="77777777" w:rsidTr="00421011">
        <w:trPr>
          <w:trHeight w:val="1296"/>
        </w:trPr>
        <w:tc>
          <w:tcPr>
            <w:tcW w:w="2784" w:type="dxa"/>
            <w:shd w:val="clear" w:color="auto" w:fill="F7CAAC" w:themeFill="accent2" w:themeFillTint="66"/>
            <w:vAlign w:val="center"/>
          </w:tcPr>
          <w:p w14:paraId="28AAB5D9" w14:textId="77777777" w:rsidR="00FD36FE" w:rsidRPr="00421011" w:rsidRDefault="00FD36FE" w:rsidP="00421011">
            <w:pPr>
              <w:pStyle w:val="PCBodyText"/>
              <w:rPr>
                <w:rFonts w:eastAsia="Times New Roman"/>
                <w:b/>
                <w:color w:val="auto"/>
                <w:lang w:val="en" w:eastAsia="en-GB"/>
              </w:rPr>
            </w:pPr>
            <w:bookmarkStart w:id="0" w:name="Purpose1"/>
            <w:bookmarkEnd w:id="0"/>
            <w:r w:rsidRPr="00421011">
              <w:rPr>
                <w:b/>
                <w:color w:val="auto"/>
                <w:lang w:val="en"/>
              </w:rPr>
              <w:t>Purpose 1:</w:t>
            </w:r>
            <w:r w:rsidRPr="00421011">
              <w:rPr>
                <w:rFonts w:eastAsia="Times New Roman"/>
                <w:b/>
                <w:color w:val="auto"/>
                <w:lang w:val="en" w:eastAsia="en-GB"/>
              </w:rPr>
              <w:t xml:space="preserve"> </w:t>
            </w:r>
          </w:p>
          <w:p w14:paraId="327C11FE" w14:textId="46E7217E" w:rsidR="00FD36FE" w:rsidRPr="00421011" w:rsidRDefault="00FD36FE" w:rsidP="00421011">
            <w:pPr>
              <w:pStyle w:val="PCBodyText"/>
              <w:rPr>
                <w:rFonts w:eastAsia="Times New Roman"/>
                <w:b/>
                <w:color w:val="auto"/>
                <w:lang w:val="en" w:eastAsia="en-GB"/>
              </w:rPr>
            </w:pPr>
            <w:r w:rsidRPr="00421011">
              <w:rPr>
                <w:b/>
                <w:color w:val="auto"/>
                <w:lang w:val="en" w:eastAsia="en-GB"/>
              </w:rPr>
              <w:t>Administration of Applications</w:t>
            </w:r>
          </w:p>
        </w:tc>
        <w:tc>
          <w:tcPr>
            <w:tcW w:w="7476" w:type="dxa"/>
            <w:tcBorders>
              <w:bottom w:val="single" w:sz="4" w:space="0" w:color="auto"/>
            </w:tcBorders>
            <w:shd w:val="clear" w:color="auto" w:fill="auto"/>
            <w:vAlign w:val="center"/>
          </w:tcPr>
          <w:p w14:paraId="5CCB0547" w14:textId="0DADC4EF" w:rsidR="00FD36FE" w:rsidRPr="00421011" w:rsidRDefault="00FD36FE" w:rsidP="00421011">
            <w:pPr>
              <w:pStyle w:val="PCBodyText"/>
              <w:rPr>
                <w:rFonts w:eastAsia="Times New Roman"/>
                <w:color w:val="auto"/>
                <w:lang w:val="en" w:eastAsia="en-GB"/>
              </w:rPr>
            </w:pPr>
            <w:r w:rsidRPr="00421011">
              <w:rPr>
                <w:rFonts w:eastAsia="Times New Roman"/>
                <w:color w:val="auto"/>
                <w:lang w:val="en" w:eastAsia="en-GB"/>
              </w:rPr>
              <w:t>Receiving and processing applications, including:</w:t>
            </w:r>
          </w:p>
          <w:p w14:paraId="5E68B214" w14:textId="77777777" w:rsidR="00421011" w:rsidRPr="00421011" w:rsidRDefault="00421011" w:rsidP="00421011">
            <w:pPr>
              <w:pStyle w:val="PCBodyText"/>
              <w:rPr>
                <w:rFonts w:eastAsia="Times New Roman"/>
                <w:color w:val="auto"/>
                <w:lang w:val="en" w:eastAsia="en-GB"/>
              </w:rPr>
            </w:pPr>
          </w:p>
          <w:p w14:paraId="739663FC" w14:textId="65E38A39" w:rsidR="00FD36FE" w:rsidRPr="00421011" w:rsidRDefault="00FD36FE" w:rsidP="00421011">
            <w:pPr>
              <w:pStyle w:val="PCBodyText"/>
              <w:numPr>
                <w:ilvl w:val="0"/>
                <w:numId w:val="8"/>
              </w:numPr>
              <w:ind w:left="360"/>
              <w:rPr>
                <w:rFonts w:eastAsia="Times New Roman"/>
                <w:color w:val="auto"/>
                <w:lang w:val="en" w:eastAsia="en-GB"/>
              </w:rPr>
            </w:pPr>
            <w:r w:rsidRPr="00421011">
              <w:rPr>
                <w:rFonts w:eastAsia="Times New Roman"/>
                <w:color w:val="auto"/>
                <w:lang w:val="en" w:eastAsia="en-GB"/>
              </w:rPr>
              <w:t>Confirmation of legitimate identity</w:t>
            </w:r>
            <w:r w:rsidR="00421011" w:rsidRPr="00421011">
              <w:rPr>
                <w:rFonts w:eastAsia="Times New Roman"/>
                <w:color w:val="auto"/>
                <w:lang w:val="en" w:eastAsia="en-GB"/>
              </w:rPr>
              <w:t>.</w:t>
            </w:r>
          </w:p>
          <w:p w14:paraId="6B86A9AA" w14:textId="77777777" w:rsidR="00FD36FE" w:rsidRPr="00421011" w:rsidRDefault="00FD36FE" w:rsidP="00421011">
            <w:pPr>
              <w:pStyle w:val="PCBodyText"/>
              <w:numPr>
                <w:ilvl w:val="0"/>
                <w:numId w:val="8"/>
              </w:numPr>
              <w:ind w:left="360"/>
              <w:rPr>
                <w:rFonts w:eastAsia="Times New Roman"/>
                <w:color w:val="auto"/>
                <w:lang w:val="en" w:eastAsia="en-GB"/>
              </w:rPr>
            </w:pPr>
            <w:r w:rsidRPr="00421011">
              <w:rPr>
                <w:rFonts w:eastAsia="Times New Roman"/>
                <w:color w:val="auto"/>
                <w:lang w:val="en" w:eastAsia="en-GB"/>
              </w:rPr>
              <w:t>Arrangements for appropriate accommodation.</w:t>
            </w:r>
          </w:p>
        </w:tc>
      </w:tr>
      <w:tr w:rsidR="00421011" w:rsidRPr="00421011" w14:paraId="77B3FAC0" w14:textId="77777777" w:rsidTr="00421011">
        <w:trPr>
          <w:trHeight w:val="2450"/>
        </w:trPr>
        <w:tc>
          <w:tcPr>
            <w:tcW w:w="2784" w:type="dxa"/>
            <w:shd w:val="clear" w:color="auto" w:fill="DEEAF6" w:themeFill="accent1" w:themeFillTint="33"/>
            <w:vAlign w:val="center"/>
          </w:tcPr>
          <w:p w14:paraId="19097E80" w14:textId="77777777" w:rsidR="00FD36FE" w:rsidRPr="00421011" w:rsidRDefault="00FD36FE" w:rsidP="00421011">
            <w:pPr>
              <w:pStyle w:val="PCBodyText"/>
              <w:rPr>
                <w:rFonts w:eastAsia="Times New Roman"/>
                <w:b/>
                <w:color w:val="auto"/>
                <w:lang w:val="en" w:eastAsia="en-GB"/>
              </w:rPr>
            </w:pPr>
            <w:bookmarkStart w:id="1" w:name="Purpose2"/>
            <w:bookmarkEnd w:id="1"/>
            <w:r w:rsidRPr="00421011">
              <w:rPr>
                <w:b/>
                <w:color w:val="auto"/>
                <w:lang w:val="en" w:eastAsia="en-GB"/>
              </w:rPr>
              <w:t xml:space="preserve">Purpose 2: </w:t>
            </w:r>
          </w:p>
          <w:p w14:paraId="1C46BCE2" w14:textId="18183E29" w:rsidR="00FD36FE" w:rsidRPr="00421011" w:rsidRDefault="00FD36FE" w:rsidP="00421011">
            <w:pPr>
              <w:pStyle w:val="PCBodyText"/>
              <w:rPr>
                <w:rFonts w:eastAsia="Times New Roman"/>
                <w:b/>
                <w:color w:val="auto"/>
                <w:lang w:val="en" w:eastAsia="en-GB"/>
              </w:rPr>
            </w:pPr>
            <w:r w:rsidRPr="00421011">
              <w:rPr>
                <w:b/>
                <w:color w:val="auto"/>
                <w:lang w:val="en" w:eastAsia="en-GB"/>
              </w:rPr>
              <w:t>Academic Matters</w:t>
            </w:r>
          </w:p>
        </w:tc>
        <w:tc>
          <w:tcPr>
            <w:tcW w:w="7476" w:type="dxa"/>
            <w:shd w:val="clear" w:color="auto" w:fill="auto"/>
            <w:vAlign w:val="center"/>
          </w:tcPr>
          <w:p w14:paraId="60C8EF69" w14:textId="71849E60" w:rsidR="00FD36FE" w:rsidRPr="00421011" w:rsidRDefault="00FD36FE" w:rsidP="00421011">
            <w:pPr>
              <w:pStyle w:val="PCBodyText"/>
              <w:rPr>
                <w:color w:val="auto"/>
                <w:lang w:val="en" w:eastAsia="en-GB"/>
              </w:rPr>
            </w:pPr>
            <w:r w:rsidRPr="00421011">
              <w:rPr>
                <w:color w:val="auto"/>
                <w:lang w:val="en" w:eastAsia="en-GB"/>
              </w:rPr>
              <w:t>Academic matters, including:</w:t>
            </w:r>
          </w:p>
          <w:p w14:paraId="07BCC569" w14:textId="77777777" w:rsidR="00421011" w:rsidRPr="00421011" w:rsidRDefault="00421011" w:rsidP="00421011">
            <w:pPr>
              <w:pStyle w:val="PCBodyText"/>
              <w:rPr>
                <w:color w:val="auto"/>
                <w:lang w:val="en" w:eastAsia="en-GB"/>
              </w:rPr>
            </w:pPr>
          </w:p>
          <w:p w14:paraId="179569A9" w14:textId="569DA7E6" w:rsidR="00FD36FE" w:rsidRPr="00421011" w:rsidRDefault="00FD36FE" w:rsidP="00421011">
            <w:pPr>
              <w:pStyle w:val="PCBodyText"/>
              <w:numPr>
                <w:ilvl w:val="0"/>
                <w:numId w:val="9"/>
              </w:numPr>
              <w:ind w:left="360"/>
              <w:rPr>
                <w:rFonts w:eastAsia="Times New Roman"/>
                <w:color w:val="auto"/>
                <w:lang w:val="en" w:eastAsia="en-GB"/>
              </w:rPr>
            </w:pPr>
            <w:r w:rsidRPr="00421011">
              <w:rPr>
                <w:rFonts w:eastAsia="Times New Roman"/>
                <w:color w:val="auto"/>
                <w:lang w:val="en" w:eastAsia="en-GB"/>
              </w:rPr>
              <w:t>Provision teaching and learning services (</w:t>
            </w:r>
            <w:proofErr w:type="spellStart"/>
            <w:proofErr w:type="gramStart"/>
            <w:r w:rsidRPr="00421011">
              <w:rPr>
                <w:rFonts w:eastAsia="Times New Roman"/>
                <w:color w:val="auto"/>
                <w:lang w:val="en" w:eastAsia="en-GB"/>
              </w:rPr>
              <w:t>eg</w:t>
            </w:r>
            <w:proofErr w:type="spellEnd"/>
            <w:proofErr w:type="gramEnd"/>
            <w:r w:rsidRPr="00421011">
              <w:rPr>
                <w:rFonts w:eastAsia="Times New Roman"/>
                <w:color w:val="auto"/>
                <w:lang w:val="en" w:eastAsia="en-GB"/>
              </w:rPr>
              <w:t xml:space="preserve"> registration, assessment, attendance, academic misconduct, investigations)</w:t>
            </w:r>
            <w:r w:rsidR="0071640C">
              <w:rPr>
                <w:rFonts w:eastAsia="Times New Roman"/>
                <w:color w:val="auto"/>
                <w:lang w:val="en" w:eastAsia="en-GB"/>
              </w:rPr>
              <w:t>.</w:t>
            </w:r>
          </w:p>
          <w:p w14:paraId="5A033C0E" w14:textId="36B09684" w:rsidR="00FD36FE" w:rsidRPr="00421011" w:rsidRDefault="00FD36FE" w:rsidP="00421011">
            <w:pPr>
              <w:pStyle w:val="PCBodyText"/>
              <w:numPr>
                <w:ilvl w:val="0"/>
                <w:numId w:val="9"/>
              </w:numPr>
              <w:ind w:left="360"/>
              <w:rPr>
                <w:rFonts w:eastAsia="Times New Roman"/>
                <w:color w:val="auto"/>
                <w:lang w:val="en" w:eastAsia="en-GB"/>
              </w:rPr>
            </w:pPr>
            <w:r w:rsidRPr="00421011">
              <w:rPr>
                <w:rFonts w:eastAsia="Times New Roman"/>
                <w:color w:val="auto"/>
                <w:lang w:val="en" w:eastAsia="en-GB"/>
              </w:rPr>
              <w:t xml:space="preserve">Maintaining student records (to ensure we have the correct data for students).  This may include the use of a personal e-mail address where a </w:t>
            </w:r>
            <w:r w:rsidR="00421011" w:rsidRPr="00421011">
              <w:rPr>
                <w:rFonts w:eastAsia="Times New Roman"/>
                <w:color w:val="auto"/>
                <w:lang w:val="en" w:eastAsia="en-GB"/>
              </w:rPr>
              <w:t xml:space="preserve">college </w:t>
            </w:r>
            <w:r w:rsidRPr="00421011">
              <w:rPr>
                <w:rFonts w:eastAsia="Times New Roman"/>
                <w:color w:val="auto"/>
                <w:lang w:val="en" w:eastAsia="en-GB"/>
              </w:rPr>
              <w:t>e-mail account is not provided</w:t>
            </w:r>
            <w:r w:rsidR="00421011" w:rsidRPr="00421011">
              <w:rPr>
                <w:rFonts w:eastAsia="Times New Roman"/>
                <w:color w:val="auto"/>
                <w:lang w:val="en" w:eastAsia="en-GB"/>
              </w:rPr>
              <w:t>.</w:t>
            </w:r>
          </w:p>
          <w:p w14:paraId="7B7FFA58" w14:textId="6FEDFC6C" w:rsidR="00FD36FE" w:rsidRPr="00421011" w:rsidRDefault="00FD36FE" w:rsidP="00421011">
            <w:pPr>
              <w:pStyle w:val="PCBodyText"/>
              <w:numPr>
                <w:ilvl w:val="0"/>
                <w:numId w:val="9"/>
              </w:numPr>
              <w:ind w:left="360"/>
              <w:rPr>
                <w:color w:val="auto"/>
                <w:lang w:val="en" w:eastAsia="en-GB"/>
              </w:rPr>
            </w:pPr>
            <w:r w:rsidRPr="00421011">
              <w:rPr>
                <w:rFonts w:eastAsia="Times New Roman"/>
                <w:color w:val="auto"/>
                <w:lang w:val="en" w:eastAsia="en-GB"/>
              </w:rPr>
              <w:t>The production of student ID cards.</w:t>
            </w:r>
          </w:p>
        </w:tc>
      </w:tr>
      <w:tr w:rsidR="00421011" w:rsidRPr="00421011" w14:paraId="0A42B835" w14:textId="77777777" w:rsidTr="00421011">
        <w:trPr>
          <w:trHeight w:val="1152"/>
        </w:trPr>
        <w:tc>
          <w:tcPr>
            <w:tcW w:w="2784" w:type="dxa"/>
            <w:shd w:val="clear" w:color="auto" w:fill="BFBFBF" w:themeFill="background1" w:themeFillShade="BF"/>
            <w:vAlign w:val="center"/>
          </w:tcPr>
          <w:p w14:paraId="4EA79075" w14:textId="77777777" w:rsidR="00FD36FE" w:rsidRPr="00421011" w:rsidRDefault="00FD36FE" w:rsidP="00421011">
            <w:pPr>
              <w:pStyle w:val="PCBodyText"/>
              <w:rPr>
                <w:rFonts w:eastAsia="Times New Roman"/>
                <w:b/>
                <w:color w:val="auto"/>
                <w:lang w:val="en" w:eastAsia="en-GB"/>
              </w:rPr>
            </w:pPr>
            <w:bookmarkStart w:id="2" w:name="Purpose3"/>
            <w:bookmarkEnd w:id="2"/>
            <w:r w:rsidRPr="00421011">
              <w:rPr>
                <w:b/>
                <w:color w:val="auto"/>
                <w:lang w:val="en" w:eastAsia="en-GB"/>
              </w:rPr>
              <w:t xml:space="preserve">Purpose 3: </w:t>
            </w:r>
          </w:p>
          <w:p w14:paraId="0D5DCA53" w14:textId="456D5048" w:rsidR="00FD36FE" w:rsidRPr="00421011" w:rsidRDefault="00FD36FE" w:rsidP="00421011">
            <w:pPr>
              <w:pStyle w:val="PCBodyText"/>
              <w:rPr>
                <w:rFonts w:eastAsia="Times New Roman"/>
                <w:b/>
                <w:color w:val="auto"/>
                <w:lang w:val="en" w:eastAsia="en-GB"/>
              </w:rPr>
            </w:pPr>
            <w:r w:rsidRPr="00421011">
              <w:rPr>
                <w:b/>
                <w:color w:val="auto"/>
                <w:lang w:val="en" w:eastAsia="en-GB"/>
              </w:rPr>
              <w:t>Student S</w:t>
            </w:r>
            <w:r w:rsidR="00421011" w:rsidRPr="00421011">
              <w:rPr>
                <w:b/>
                <w:color w:val="auto"/>
                <w:lang w:val="en" w:eastAsia="en-GB"/>
              </w:rPr>
              <w:t>upport</w:t>
            </w:r>
          </w:p>
        </w:tc>
        <w:tc>
          <w:tcPr>
            <w:tcW w:w="7476" w:type="dxa"/>
            <w:vAlign w:val="center"/>
          </w:tcPr>
          <w:p w14:paraId="20BCE8FB" w14:textId="17F9ACAE" w:rsidR="00FD36FE" w:rsidRPr="00421011" w:rsidRDefault="00FD36FE" w:rsidP="00421011">
            <w:pPr>
              <w:pStyle w:val="PCBodyText"/>
              <w:rPr>
                <w:color w:val="auto"/>
                <w:lang w:val="en" w:eastAsia="en-GB"/>
              </w:rPr>
            </w:pPr>
            <w:r w:rsidRPr="00421011">
              <w:rPr>
                <w:color w:val="auto"/>
                <w:lang w:val="en" w:eastAsia="en-GB"/>
              </w:rPr>
              <w:t xml:space="preserve">Providing student support services (for example personal academic support, personal non-academic </w:t>
            </w:r>
            <w:proofErr w:type="gramStart"/>
            <w:r w:rsidRPr="00421011">
              <w:rPr>
                <w:color w:val="auto"/>
                <w:lang w:val="en" w:eastAsia="en-GB"/>
              </w:rPr>
              <w:t>support</w:t>
            </w:r>
            <w:proofErr w:type="gramEnd"/>
            <w:r w:rsidRPr="00421011">
              <w:rPr>
                <w:color w:val="auto"/>
                <w:lang w:val="en" w:eastAsia="en-GB"/>
              </w:rPr>
              <w:t xml:space="preserve"> and additional support for those who wish to receive it).</w:t>
            </w:r>
          </w:p>
        </w:tc>
      </w:tr>
      <w:tr w:rsidR="00421011" w:rsidRPr="00421011" w14:paraId="01296D14" w14:textId="77777777" w:rsidTr="00421011">
        <w:tblPrEx>
          <w:tblLook w:val="04A0" w:firstRow="1" w:lastRow="0" w:firstColumn="1" w:lastColumn="0" w:noHBand="0" w:noVBand="1"/>
        </w:tblPrEx>
        <w:trPr>
          <w:trHeight w:val="1152"/>
        </w:trPr>
        <w:tc>
          <w:tcPr>
            <w:tcW w:w="2784" w:type="dxa"/>
            <w:shd w:val="clear" w:color="auto" w:fill="FFE599" w:themeFill="accent4" w:themeFillTint="66"/>
            <w:vAlign w:val="center"/>
          </w:tcPr>
          <w:p w14:paraId="3CA1869F" w14:textId="7BAC4BEC" w:rsidR="00FD36FE" w:rsidRPr="00421011" w:rsidRDefault="00FD36FE" w:rsidP="00421011">
            <w:pPr>
              <w:pStyle w:val="PCBodyText"/>
              <w:rPr>
                <w:rFonts w:eastAsia="Times New Roman"/>
                <w:b/>
                <w:color w:val="auto"/>
                <w:lang w:val="en" w:eastAsia="en-GB"/>
              </w:rPr>
            </w:pPr>
            <w:bookmarkStart w:id="3" w:name="Purpose4"/>
            <w:r w:rsidRPr="00421011">
              <w:rPr>
                <w:b/>
                <w:color w:val="auto"/>
                <w:lang w:val="en" w:eastAsia="en-GB"/>
              </w:rPr>
              <w:t>Purpose 4:</w:t>
            </w:r>
            <w:bookmarkEnd w:id="3"/>
          </w:p>
          <w:p w14:paraId="1BB65289" w14:textId="77777777" w:rsidR="00FD36FE" w:rsidRPr="00421011" w:rsidRDefault="00FD36FE" w:rsidP="00421011">
            <w:pPr>
              <w:pStyle w:val="PCBodyText"/>
              <w:rPr>
                <w:b/>
                <w:color w:val="auto"/>
                <w:lang w:val="en" w:eastAsia="en-GB"/>
              </w:rPr>
            </w:pPr>
            <w:r w:rsidRPr="00421011">
              <w:rPr>
                <w:b/>
                <w:color w:val="auto"/>
                <w:lang w:val="en" w:eastAsia="en-GB"/>
              </w:rPr>
              <w:t>Accreditation</w:t>
            </w:r>
          </w:p>
        </w:tc>
        <w:tc>
          <w:tcPr>
            <w:tcW w:w="7476" w:type="dxa"/>
            <w:vAlign w:val="center"/>
          </w:tcPr>
          <w:p w14:paraId="74411E04" w14:textId="606242FC" w:rsidR="00FD36FE" w:rsidRPr="00421011" w:rsidRDefault="00FD36FE" w:rsidP="00421011">
            <w:pPr>
              <w:pStyle w:val="PCBodyText"/>
              <w:rPr>
                <w:rFonts w:eastAsia="Times New Roman"/>
                <w:color w:val="auto"/>
                <w:lang w:val="en" w:eastAsia="en-GB"/>
              </w:rPr>
            </w:pPr>
            <w:r w:rsidRPr="00421011">
              <w:rPr>
                <w:rFonts w:eastAsia="Times New Roman"/>
                <w:color w:val="auto"/>
                <w:lang w:val="en" w:eastAsia="en-GB"/>
              </w:rPr>
              <w:t>Processing of completed assessment to external accreditation agencies and awarding bodies such as the British Council for the provision of quality assurance and funding purposes.</w:t>
            </w:r>
          </w:p>
        </w:tc>
      </w:tr>
    </w:tbl>
    <w:p w14:paraId="14CD1AC5" w14:textId="77777777" w:rsidR="00FD36FE" w:rsidRPr="00421011" w:rsidRDefault="00FD36FE" w:rsidP="00FD36FE">
      <w:pPr>
        <w:pStyle w:val="PCBodyText"/>
        <w:rPr>
          <w:bCs/>
          <w:color w:val="auto"/>
        </w:rPr>
      </w:pPr>
      <w:r w:rsidRPr="00421011">
        <w:rPr>
          <w:bCs/>
          <w:color w:val="auto"/>
        </w:rPr>
        <w:br w:type="page"/>
      </w:r>
    </w:p>
    <w:p w14:paraId="1B88BCFD" w14:textId="454E8686" w:rsidR="00FD36FE" w:rsidRPr="00421011" w:rsidRDefault="00FD36FE" w:rsidP="00FD36FE">
      <w:pPr>
        <w:pStyle w:val="PCBodyText"/>
        <w:rPr>
          <w:b/>
          <w:color w:val="auto"/>
        </w:rPr>
      </w:pPr>
      <w:r w:rsidRPr="00421011">
        <w:rPr>
          <w:b/>
          <w:color w:val="auto"/>
        </w:rPr>
        <w:lastRenderedPageBreak/>
        <w:t xml:space="preserve">Our legal reasons for using the data are: </w:t>
      </w:r>
    </w:p>
    <w:p w14:paraId="708B9D1E" w14:textId="77777777" w:rsidR="00421011" w:rsidRPr="00421011" w:rsidRDefault="00421011" w:rsidP="00FD36FE">
      <w:pPr>
        <w:pStyle w:val="PCBodyText"/>
        <w:rPr>
          <w:bCs/>
          <w:color w:val="auto"/>
        </w:rPr>
      </w:pPr>
    </w:p>
    <w:tbl>
      <w:tblPr>
        <w:tblStyle w:val="TableGrid"/>
        <w:tblW w:w="10165" w:type="dxa"/>
        <w:tblLayout w:type="fixed"/>
        <w:tblCellMar>
          <w:top w:w="29" w:type="dxa"/>
          <w:bottom w:w="29" w:type="dxa"/>
        </w:tblCellMar>
        <w:tblLook w:val="06A0" w:firstRow="1" w:lastRow="0" w:firstColumn="1" w:lastColumn="0" w:noHBand="1" w:noVBand="1"/>
      </w:tblPr>
      <w:tblGrid>
        <w:gridCol w:w="2689"/>
        <w:gridCol w:w="7476"/>
      </w:tblGrid>
      <w:tr w:rsidR="00421011" w:rsidRPr="00421011" w14:paraId="796F3369" w14:textId="77777777" w:rsidTr="00421011">
        <w:tc>
          <w:tcPr>
            <w:tcW w:w="2689" w:type="dxa"/>
            <w:shd w:val="clear" w:color="auto" w:fill="auto"/>
          </w:tcPr>
          <w:p w14:paraId="67C707B1" w14:textId="77777777" w:rsidR="00FD36FE" w:rsidRPr="00421011" w:rsidRDefault="00FD36FE" w:rsidP="00FD36FE">
            <w:pPr>
              <w:pStyle w:val="PCBodyText"/>
              <w:rPr>
                <w:rFonts w:eastAsia="Times New Roman"/>
                <w:b/>
                <w:color w:val="auto"/>
                <w:lang w:val="en" w:eastAsia="en-GB"/>
              </w:rPr>
            </w:pPr>
            <w:r w:rsidRPr="00421011">
              <w:rPr>
                <w:b/>
                <w:color w:val="auto"/>
                <w:lang w:val="en"/>
              </w:rPr>
              <w:t>Purpose</w:t>
            </w:r>
          </w:p>
        </w:tc>
        <w:tc>
          <w:tcPr>
            <w:tcW w:w="7476" w:type="dxa"/>
            <w:tcBorders>
              <w:bottom w:val="single" w:sz="4" w:space="0" w:color="auto"/>
            </w:tcBorders>
            <w:shd w:val="clear" w:color="auto" w:fill="auto"/>
          </w:tcPr>
          <w:p w14:paraId="597F0853" w14:textId="0AFC2904" w:rsidR="00FD36FE" w:rsidRPr="00421011" w:rsidRDefault="00FD36FE" w:rsidP="00FD36FE">
            <w:pPr>
              <w:pStyle w:val="PCBodyText"/>
              <w:rPr>
                <w:rFonts w:eastAsia="Times New Roman"/>
                <w:b/>
                <w:color w:val="auto"/>
                <w:lang w:val="en" w:eastAsia="en-GB"/>
              </w:rPr>
            </w:pPr>
            <w:r w:rsidRPr="00421011">
              <w:rPr>
                <w:rFonts w:eastAsia="Times New Roman"/>
                <w:b/>
                <w:color w:val="auto"/>
                <w:lang w:val="en" w:eastAsia="en-GB"/>
              </w:rPr>
              <w:t xml:space="preserve">Lawful </w:t>
            </w:r>
            <w:r w:rsidR="00421011" w:rsidRPr="00421011">
              <w:rPr>
                <w:rFonts w:eastAsia="Times New Roman"/>
                <w:b/>
                <w:color w:val="auto"/>
                <w:lang w:val="en" w:eastAsia="en-GB"/>
              </w:rPr>
              <w:t xml:space="preserve">Basis </w:t>
            </w:r>
            <w:r w:rsidRPr="00421011">
              <w:rPr>
                <w:rFonts w:eastAsia="Times New Roman"/>
                <w:b/>
                <w:color w:val="auto"/>
                <w:lang w:val="en" w:eastAsia="en-GB"/>
              </w:rPr>
              <w:t xml:space="preserve">for </w:t>
            </w:r>
            <w:r w:rsidR="00421011" w:rsidRPr="00421011">
              <w:rPr>
                <w:rFonts w:eastAsia="Times New Roman"/>
                <w:b/>
                <w:color w:val="auto"/>
                <w:lang w:val="en" w:eastAsia="en-GB"/>
              </w:rPr>
              <w:t>Processing</w:t>
            </w:r>
          </w:p>
        </w:tc>
      </w:tr>
      <w:tr w:rsidR="00421011" w:rsidRPr="00421011" w14:paraId="7E020D92" w14:textId="77777777" w:rsidTr="00421011">
        <w:trPr>
          <w:trHeight w:val="2448"/>
        </w:trPr>
        <w:tc>
          <w:tcPr>
            <w:tcW w:w="2689" w:type="dxa"/>
            <w:shd w:val="clear" w:color="auto" w:fill="F7CAAC" w:themeFill="accent2" w:themeFillTint="66"/>
            <w:vAlign w:val="center"/>
          </w:tcPr>
          <w:p w14:paraId="3A144C7D" w14:textId="77777777" w:rsidR="00FD36FE" w:rsidRPr="00421011" w:rsidRDefault="00FD36FE" w:rsidP="00421011">
            <w:pPr>
              <w:pStyle w:val="PCBodyText"/>
              <w:rPr>
                <w:rFonts w:eastAsia="Times New Roman"/>
                <w:b/>
                <w:color w:val="auto"/>
                <w:lang w:val="en" w:eastAsia="en-GB"/>
              </w:rPr>
            </w:pPr>
            <w:r w:rsidRPr="00421011">
              <w:rPr>
                <w:b/>
                <w:color w:val="auto"/>
                <w:lang w:val="en"/>
              </w:rPr>
              <w:t>Purpose 1:</w:t>
            </w:r>
            <w:r w:rsidRPr="00421011">
              <w:rPr>
                <w:rFonts w:eastAsia="Times New Roman"/>
                <w:b/>
                <w:color w:val="auto"/>
                <w:lang w:val="en" w:eastAsia="en-GB"/>
              </w:rPr>
              <w:t xml:space="preserve"> </w:t>
            </w:r>
          </w:p>
          <w:p w14:paraId="6F6E7948" w14:textId="06BE3FDF" w:rsidR="00FD36FE" w:rsidRPr="00421011" w:rsidRDefault="00FD36FE" w:rsidP="00421011">
            <w:pPr>
              <w:pStyle w:val="PCBodyText"/>
              <w:rPr>
                <w:rFonts w:eastAsia="Times New Roman"/>
                <w:b/>
                <w:color w:val="auto"/>
                <w:lang w:val="en" w:eastAsia="en-GB"/>
              </w:rPr>
            </w:pPr>
            <w:r w:rsidRPr="00421011">
              <w:rPr>
                <w:b/>
                <w:color w:val="auto"/>
                <w:lang w:val="en" w:eastAsia="en-GB"/>
              </w:rPr>
              <w:t>Administration of applications</w:t>
            </w:r>
          </w:p>
        </w:tc>
        <w:tc>
          <w:tcPr>
            <w:tcW w:w="7476" w:type="dxa"/>
            <w:tcBorders>
              <w:bottom w:val="single" w:sz="4" w:space="0" w:color="auto"/>
            </w:tcBorders>
            <w:shd w:val="clear" w:color="auto" w:fill="auto"/>
            <w:vAlign w:val="center"/>
          </w:tcPr>
          <w:p w14:paraId="7C2FB6F7" w14:textId="6413BBAB" w:rsidR="00FD36FE" w:rsidRPr="00421011" w:rsidRDefault="00FD36FE" w:rsidP="00421011">
            <w:pPr>
              <w:pStyle w:val="PCBodyText"/>
              <w:rPr>
                <w:color w:val="auto"/>
              </w:rPr>
            </w:pPr>
            <w:r w:rsidRPr="00421011">
              <w:rPr>
                <w:rFonts w:eastAsia="Times New Roman"/>
                <w:b/>
                <w:bCs/>
                <w:color w:val="auto"/>
                <w:lang w:val="en" w:eastAsia="en-GB"/>
              </w:rPr>
              <w:t>Contract</w:t>
            </w:r>
            <w:r w:rsidRPr="00421011">
              <w:rPr>
                <w:rFonts w:eastAsia="Times New Roman"/>
                <w:color w:val="auto"/>
                <w:lang w:val="en" w:eastAsia="en-GB"/>
              </w:rPr>
              <w:t xml:space="preserve"> – the processing is necessary for the performance of a contract, or to take steps to enter a contract at your request.  </w:t>
            </w:r>
            <w:r w:rsidRPr="00421011">
              <w:rPr>
                <w:color w:val="auto"/>
              </w:rPr>
              <w:t>That contract being between the college and its students, and other parties to provide educational and other products and/or services.</w:t>
            </w:r>
          </w:p>
          <w:p w14:paraId="4D8B0CA7" w14:textId="77777777" w:rsidR="00FD36FE" w:rsidRPr="00421011" w:rsidRDefault="00FD36FE" w:rsidP="00421011">
            <w:pPr>
              <w:pStyle w:val="PCBodyText"/>
              <w:rPr>
                <w:rFonts w:eastAsia="Times New Roman"/>
                <w:color w:val="auto"/>
                <w:lang w:val="en" w:eastAsia="en-GB"/>
              </w:rPr>
            </w:pPr>
          </w:p>
          <w:p w14:paraId="16560B74" w14:textId="65D7D5A7" w:rsidR="00FD36FE" w:rsidRPr="00421011" w:rsidRDefault="00FD36FE" w:rsidP="00421011">
            <w:pPr>
              <w:pStyle w:val="PCBodyText"/>
              <w:rPr>
                <w:rFonts w:eastAsia="Times New Roman"/>
                <w:color w:val="auto"/>
                <w:lang w:val="en" w:eastAsia="en-GB"/>
              </w:rPr>
            </w:pPr>
            <w:r w:rsidRPr="00421011">
              <w:rPr>
                <w:rFonts w:eastAsia="Times New Roman"/>
                <w:b/>
                <w:bCs/>
                <w:color w:val="auto"/>
                <w:lang w:val="en" w:eastAsia="en-GB"/>
              </w:rPr>
              <w:t>Public Task</w:t>
            </w:r>
            <w:r w:rsidR="00421011">
              <w:rPr>
                <w:rFonts w:eastAsia="Times New Roman"/>
                <w:color w:val="auto"/>
                <w:lang w:val="en" w:eastAsia="en-GB"/>
              </w:rPr>
              <w:t xml:space="preserve"> – </w:t>
            </w:r>
            <w:r w:rsidR="0071640C" w:rsidRPr="00421011">
              <w:rPr>
                <w:rFonts w:eastAsia="Times New Roman"/>
                <w:color w:val="auto"/>
                <w:lang w:val="en" w:eastAsia="en-GB"/>
              </w:rPr>
              <w:t xml:space="preserve">use </w:t>
            </w:r>
            <w:r w:rsidRPr="00421011">
              <w:rPr>
                <w:rFonts w:eastAsia="Times New Roman"/>
                <w:color w:val="auto"/>
                <w:lang w:val="en" w:eastAsia="en-GB"/>
              </w:rPr>
              <w:t>as necessary for performing a task in the public interest or under official authority vested in us.  That being the college's public task as an educational establishment.</w:t>
            </w:r>
          </w:p>
        </w:tc>
      </w:tr>
      <w:tr w:rsidR="00421011" w:rsidRPr="00421011" w14:paraId="1A03A102" w14:textId="77777777" w:rsidTr="00421011">
        <w:trPr>
          <w:trHeight w:val="1440"/>
        </w:trPr>
        <w:tc>
          <w:tcPr>
            <w:tcW w:w="2689" w:type="dxa"/>
            <w:shd w:val="clear" w:color="auto" w:fill="DEEAF6" w:themeFill="accent1" w:themeFillTint="33"/>
            <w:vAlign w:val="center"/>
          </w:tcPr>
          <w:p w14:paraId="2FCF8F3A" w14:textId="77777777" w:rsidR="00FD36FE" w:rsidRPr="00421011" w:rsidRDefault="00FD36FE" w:rsidP="00421011">
            <w:pPr>
              <w:pStyle w:val="PCBodyText"/>
              <w:rPr>
                <w:rFonts w:eastAsia="Times New Roman"/>
                <w:b/>
                <w:color w:val="auto"/>
                <w:lang w:val="en" w:eastAsia="en-GB"/>
              </w:rPr>
            </w:pPr>
            <w:r w:rsidRPr="00421011">
              <w:rPr>
                <w:b/>
                <w:color w:val="auto"/>
                <w:lang w:val="en" w:eastAsia="en-GB"/>
              </w:rPr>
              <w:t xml:space="preserve">Purpose 2: </w:t>
            </w:r>
          </w:p>
          <w:p w14:paraId="48B68135" w14:textId="77777777" w:rsidR="00FD36FE" w:rsidRPr="00421011" w:rsidRDefault="00FD36FE" w:rsidP="00421011">
            <w:pPr>
              <w:pStyle w:val="PCBodyText"/>
              <w:rPr>
                <w:rFonts w:eastAsia="Times New Roman"/>
                <w:b/>
                <w:color w:val="auto"/>
                <w:lang w:val="en" w:eastAsia="en-GB"/>
              </w:rPr>
            </w:pPr>
            <w:r w:rsidRPr="00421011">
              <w:rPr>
                <w:b/>
                <w:color w:val="auto"/>
                <w:lang w:val="en" w:eastAsia="en-GB"/>
              </w:rPr>
              <w:t>Academic matters</w:t>
            </w:r>
          </w:p>
        </w:tc>
        <w:tc>
          <w:tcPr>
            <w:tcW w:w="7476" w:type="dxa"/>
            <w:shd w:val="clear" w:color="auto" w:fill="auto"/>
            <w:vAlign w:val="center"/>
          </w:tcPr>
          <w:p w14:paraId="1C879FA1" w14:textId="1D74497A" w:rsidR="00FD36FE" w:rsidRPr="00421011" w:rsidRDefault="00FD36FE" w:rsidP="00421011">
            <w:pPr>
              <w:pStyle w:val="PCBodyText"/>
              <w:rPr>
                <w:rFonts w:eastAsia="Times New Roman"/>
                <w:color w:val="auto"/>
                <w:lang w:val="en" w:eastAsia="en-GB"/>
              </w:rPr>
            </w:pPr>
            <w:r w:rsidRPr="00421011">
              <w:rPr>
                <w:rFonts w:eastAsia="Times New Roman"/>
                <w:b/>
                <w:bCs/>
                <w:color w:val="auto"/>
                <w:lang w:val="en" w:eastAsia="en-GB"/>
              </w:rPr>
              <w:t>Contract</w:t>
            </w:r>
            <w:r w:rsidRPr="00421011">
              <w:rPr>
                <w:rFonts w:eastAsia="Times New Roman"/>
                <w:color w:val="auto"/>
                <w:lang w:val="en" w:eastAsia="en-GB"/>
              </w:rPr>
              <w:t xml:space="preserve"> – the processing is necessary for the performance of a contract, or to take steps to enter a contract at your request.  That contract being between the college and its students, and other parties to provide educational and other products and/or services.</w:t>
            </w:r>
          </w:p>
        </w:tc>
      </w:tr>
      <w:tr w:rsidR="00421011" w:rsidRPr="00421011" w14:paraId="4990AACC" w14:textId="77777777" w:rsidTr="00421011">
        <w:trPr>
          <w:trHeight w:val="1440"/>
        </w:trPr>
        <w:tc>
          <w:tcPr>
            <w:tcW w:w="2689" w:type="dxa"/>
            <w:shd w:val="clear" w:color="auto" w:fill="BFBFBF" w:themeFill="background1" w:themeFillShade="BF"/>
            <w:vAlign w:val="center"/>
          </w:tcPr>
          <w:p w14:paraId="18448213" w14:textId="77777777" w:rsidR="00FD36FE" w:rsidRPr="00421011" w:rsidRDefault="00FD36FE" w:rsidP="00421011">
            <w:pPr>
              <w:pStyle w:val="PCBodyText"/>
              <w:rPr>
                <w:rFonts w:eastAsia="Times New Roman"/>
                <w:b/>
                <w:color w:val="auto"/>
                <w:lang w:val="en" w:eastAsia="en-GB"/>
              </w:rPr>
            </w:pPr>
            <w:r w:rsidRPr="00421011">
              <w:rPr>
                <w:b/>
                <w:color w:val="auto"/>
                <w:lang w:val="en" w:eastAsia="en-GB"/>
              </w:rPr>
              <w:t xml:space="preserve">Purpose 3: </w:t>
            </w:r>
          </w:p>
          <w:p w14:paraId="173EDD29" w14:textId="77777777" w:rsidR="00FD36FE" w:rsidRPr="00421011" w:rsidRDefault="00FD36FE" w:rsidP="00421011">
            <w:pPr>
              <w:pStyle w:val="PCBodyText"/>
              <w:rPr>
                <w:rFonts w:eastAsia="Times New Roman"/>
                <w:b/>
                <w:color w:val="auto"/>
                <w:lang w:val="en" w:eastAsia="en-GB"/>
              </w:rPr>
            </w:pPr>
            <w:r w:rsidRPr="00421011">
              <w:rPr>
                <w:b/>
                <w:color w:val="auto"/>
                <w:lang w:val="en" w:eastAsia="en-GB"/>
              </w:rPr>
              <w:t>Student Support</w:t>
            </w:r>
          </w:p>
        </w:tc>
        <w:tc>
          <w:tcPr>
            <w:tcW w:w="7476" w:type="dxa"/>
            <w:vAlign w:val="center"/>
          </w:tcPr>
          <w:p w14:paraId="61B72198" w14:textId="0248081C" w:rsidR="00FD36FE" w:rsidRPr="00421011" w:rsidRDefault="00FD36FE" w:rsidP="00421011">
            <w:pPr>
              <w:pStyle w:val="PCBodyText"/>
              <w:rPr>
                <w:rFonts w:eastAsia="Times New Roman"/>
                <w:color w:val="auto"/>
                <w:lang w:val="en" w:eastAsia="en-GB"/>
              </w:rPr>
            </w:pPr>
            <w:r w:rsidRPr="00421011">
              <w:rPr>
                <w:rFonts w:eastAsia="Times New Roman"/>
                <w:b/>
                <w:bCs/>
                <w:color w:val="auto"/>
                <w:lang w:val="en" w:eastAsia="en-GB"/>
              </w:rPr>
              <w:t>Contract</w:t>
            </w:r>
            <w:r w:rsidRPr="00421011">
              <w:rPr>
                <w:rFonts w:eastAsia="Times New Roman"/>
                <w:color w:val="auto"/>
                <w:lang w:val="en" w:eastAsia="en-GB"/>
              </w:rPr>
              <w:t xml:space="preserve"> – the processing is necessary for the performance of a contract, or to take steps to enter a contract at your request.  </w:t>
            </w:r>
            <w:r w:rsidRPr="00421011">
              <w:rPr>
                <w:color w:val="auto"/>
              </w:rPr>
              <w:t>That contract being between the college and its students, and other parties to provide educational and other products and/or services.</w:t>
            </w:r>
          </w:p>
        </w:tc>
      </w:tr>
      <w:tr w:rsidR="00421011" w:rsidRPr="00421011" w14:paraId="38C5E467" w14:textId="77777777" w:rsidTr="00421011">
        <w:tblPrEx>
          <w:tblLook w:val="04A0" w:firstRow="1" w:lastRow="0" w:firstColumn="1" w:lastColumn="0" w:noHBand="0" w:noVBand="1"/>
        </w:tblPrEx>
        <w:trPr>
          <w:trHeight w:val="2448"/>
        </w:trPr>
        <w:tc>
          <w:tcPr>
            <w:tcW w:w="2689" w:type="dxa"/>
            <w:shd w:val="clear" w:color="auto" w:fill="FFE599" w:themeFill="accent4" w:themeFillTint="66"/>
            <w:vAlign w:val="center"/>
          </w:tcPr>
          <w:p w14:paraId="4DF52123" w14:textId="77777777" w:rsidR="00FD36FE" w:rsidRPr="00421011" w:rsidRDefault="00FD36FE" w:rsidP="00421011">
            <w:pPr>
              <w:pStyle w:val="PCBodyText"/>
              <w:rPr>
                <w:rFonts w:eastAsia="Times New Roman"/>
                <w:b/>
                <w:color w:val="auto"/>
                <w:lang w:val="en" w:eastAsia="en-GB"/>
              </w:rPr>
            </w:pPr>
            <w:r w:rsidRPr="00421011">
              <w:rPr>
                <w:b/>
                <w:color w:val="auto"/>
                <w:lang w:val="en" w:eastAsia="en-GB"/>
              </w:rPr>
              <w:t>Purpose 4:</w:t>
            </w:r>
          </w:p>
          <w:p w14:paraId="50050B10" w14:textId="77777777" w:rsidR="00FD36FE" w:rsidRPr="00421011" w:rsidRDefault="00FD36FE" w:rsidP="00421011">
            <w:pPr>
              <w:pStyle w:val="PCBodyText"/>
              <w:rPr>
                <w:b/>
                <w:color w:val="auto"/>
                <w:lang w:val="en" w:eastAsia="en-GB"/>
              </w:rPr>
            </w:pPr>
            <w:r w:rsidRPr="00421011">
              <w:rPr>
                <w:b/>
                <w:color w:val="auto"/>
                <w:lang w:val="en" w:eastAsia="en-GB"/>
              </w:rPr>
              <w:t>Accreditation</w:t>
            </w:r>
          </w:p>
        </w:tc>
        <w:tc>
          <w:tcPr>
            <w:tcW w:w="7476" w:type="dxa"/>
            <w:vAlign w:val="center"/>
          </w:tcPr>
          <w:p w14:paraId="6C864C5C" w14:textId="7D4E4EA2" w:rsidR="00FD36FE" w:rsidRPr="00421011" w:rsidRDefault="00FD36FE" w:rsidP="00421011">
            <w:pPr>
              <w:pStyle w:val="PCBodyText"/>
              <w:rPr>
                <w:color w:val="auto"/>
              </w:rPr>
            </w:pPr>
            <w:r w:rsidRPr="00421011">
              <w:rPr>
                <w:rFonts w:eastAsia="Times New Roman"/>
                <w:b/>
                <w:bCs/>
                <w:color w:val="auto"/>
                <w:lang w:val="en" w:eastAsia="en-GB"/>
              </w:rPr>
              <w:t>Contract</w:t>
            </w:r>
            <w:r w:rsidRPr="00421011">
              <w:rPr>
                <w:rFonts w:eastAsia="Times New Roman"/>
                <w:color w:val="auto"/>
                <w:lang w:val="en" w:eastAsia="en-GB"/>
              </w:rPr>
              <w:t xml:space="preserve"> </w:t>
            </w:r>
            <w:r w:rsidR="00421011">
              <w:rPr>
                <w:rFonts w:eastAsia="Times New Roman"/>
                <w:color w:val="auto"/>
                <w:lang w:val="en" w:eastAsia="en-GB"/>
              </w:rPr>
              <w:t>–</w:t>
            </w:r>
            <w:r w:rsidRPr="00421011">
              <w:rPr>
                <w:rFonts w:eastAsia="Times New Roman"/>
                <w:color w:val="auto"/>
                <w:lang w:val="en" w:eastAsia="en-GB"/>
              </w:rPr>
              <w:t xml:space="preserve"> the processing is necessary for the performance of a contract, or to take steps to enter a contract at your request.  </w:t>
            </w:r>
            <w:r w:rsidRPr="00421011">
              <w:rPr>
                <w:color w:val="auto"/>
              </w:rPr>
              <w:t>That contract being between the college and its students, and other parties to provide educational and other products and/or services.</w:t>
            </w:r>
          </w:p>
          <w:p w14:paraId="772C66AC" w14:textId="77777777" w:rsidR="00FD36FE" w:rsidRPr="00421011" w:rsidRDefault="00FD36FE" w:rsidP="00421011">
            <w:pPr>
              <w:pStyle w:val="PCBodyText"/>
              <w:rPr>
                <w:rFonts w:eastAsia="Times New Roman"/>
                <w:color w:val="auto"/>
                <w:lang w:val="en" w:eastAsia="en-GB"/>
              </w:rPr>
            </w:pPr>
          </w:p>
          <w:p w14:paraId="28F421EA" w14:textId="1C5B606F" w:rsidR="00FD36FE" w:rsidRPr="00421011" w:rsidRDefault="00FD36FE" w:rsidP="00421011">
            <w:pPr>
              <w:pStyle w:val="PCBodyText"/>
              <w:rPr>
                <w:rFonts w:eastAsia="Times New Roman"/>
                <w:color w:val="auto"/>
                <w:lang w:val="en" w:eastAsia="en-GB"/>
              </w:rPr>
            </w:pPr>
            <w:r w:rsidRPr="00421011">
              <w:rPr>
                <w:rFonts w:eastAsia="Times New Roman"/>
                <w:b/>
                <w:bCs/>
                <w:color w:val="auto"/>
                <w:lang w:val="en" w:eastAsia="en-GB"/>
              </w:rPr>
              <w:t>Public Task</w:t>
            </w:r>
            <w:r w:rsidR="00421011">
              <w:rPr>
                <w:rFonts w:eastAsia="Times New Roman"/>
                <w:color w:val="auto"/>
                <w:lang w:val="en" w:eastAsia="en-GB"/>
              </w:rPr>
              <w:t xml:space="preserve"> – </w:t>
            </w:r>
            <w:r w:rsidR="0071640C" w:rsidRPr="00421011">
              <w:rPr>
                <w:rFonts w:eastAsia="Times New Roman"/>
                <w:color w:val="auto"/>
                <w:lang w:val="en" w:eastAsia="en-GB"/>
              </w:rPr>
              <w:t xml:space="preserve">use </w:t>
            </w:r>
            <w:r w:rsidRPr="00421011">
              <w:rPr>
                <w:rFonts w:eastAsia="Times New Roman"/>
                <w:color w:val="auto"/>
                <w:lang w:val="en" w:eastAsia="en-GB"/>
              </w:rPr>
              <w:t>as necessary for performing a task in the public interest or under official authority vested in us.  That being the college's public task as an educational establishment.</w:t>
            </w:r>
          </w:p>
        </w:tc>
      </w:tr>
    </w:tbl>
    <w:p w14:paraId="1AD80775" w14:textId="77777777" w:rsidR="00FD36FE" w:rsidRPr="00421011" w:rsidRDefault="00FD36FE" w:rsidP="00FD36FE">
      <w:pPr>
        <w:pStyle w:val="PCBodyText"/>
        <w:rPr>
          <w:bCs/>
          <w:color w:val="auto"/>
        </w:rPr>
      </w:pPr>
    </w:p>
    <w:p w14:paraId="6CA2C448" w14:textId="77777777" w:rsidR="00FD36FE" w:rsidRPr="00421011" w:rsidRDefault="00FD36FE" w:rsidP="00FD36FE">
      <w:pPr>
        <w:pStyle w:val="PCBodyText"/>
        <w:rPr>
          <w:rFonts w:eastAsia="Calibri"/>
          <w:bCs/>
          <w:color w:val="auto"/>
        </w:rPr>
      </w:pPr>
      <w:r w:rsidRPr="00421011">
        <w:rPr>
          <w:rFonts w:eastAsia="Calibri"/>
          <w:bCs/>
          <w:color w:val="auto"/>
        </w:rPr>
        <w:br w:type="page"/>
      </w:r>
    </w:p>
    <w:p w14:paraId="28E83309" w14:textId="24F40574" w:rsidR="00FD36FE" w:rsidRPr="00421011" w:rsidRDefault="00FD36FE" w:rsidP="00FD36FE">
      <w:pPr>
        <w:pStyle w:val="PCBodyText"/>
        <w:rPr>
          <w:rFonts w:eastAsia="Calibri"/>
          <w:b/>
          <w:color w:val="auto"/>
        </w:rPr>
      </w:pPr>
      <w:r w:rsidRPr="00421011">
        <w:rPr>
          <w:rFonts w:eastAsia="Calibri"/>
          <w:b/>
          <w:color w:val="auto"/>
        </w:rPr>
        <w:lastRenderedPageBreak/>
        <w:t>The data we use includes special category (sensitive) data.  You are not obliged to provide this information.  Our legal reason for using this sensitive data, as provided, is:</w:t>
      </w:r>
    </w:p>
    <w:p w14:paraId="408203C4" w14:textId="77777777" w:rsidR="00421011" w:rsidRPr="00421011" w:rsidRDefault="00421011" w:rsidP="00FD36FE">
      <w:pPr>
        <w:pStyle w:val="PCBodyText"/>
        <w:rPr>
          <w:rFonts w:eastAsia="Calibri"/>
          <w:color w:val="auto"/>
        </w:rPr>
      </w:pPr>
    </w:p>
    <w:tbl>
      <w:tblPr>
        <w:tblStyle w:val="TableGrid"/>
        <w:tblW w:w="0" w:type="auto"/>
        <w:tblInd w:w="-95" w:type="dxa"/>
        <w:tblCellMar>
          <w:top w:w="29" w:type="dxa"/>
          <w:bottom w:w="29" w:type="dxa"/>
        </w:tblCellMar>
        <w:tblLook w:val="04A0" w:firstRow="1" w:lastRow="0" w:firstColumn="1" w:lastColumn="0" w:noHBand="0" w:noVBand="1"/>
      </w:tblPr>
      <w:tblGrid>
        <w:gridCol w:w="10260"/>
      </w:tblGrid>
      <w:tr w:rsidR="00002EE0" w:rsidRPr="00421011" w14:paraId="2216491E" w14:textId="77777777" w:rsidTr="00002EE0">
        <w:trPr>
          <w:trHeight w:val="659"/>
        </w:trPr>
        <w:tc>
          <w:tcPr>
            <w:tcW w:w="10260" w:type="dxa"/>
            <w:vAlign w:val="center"/>
          </w:tcPr>
          <w:p w14:paraId="6EFAAEF1" w14:textId="7B1C1083" w:rsidR="00FD36FE" w:rsidRPr="00421011" w:rsidRDefault="00FD36FE" w:rsidP="00002EE0">
            <w:pPr>
              <w:pStyle w:val="PCBodyText"/>
              <w:rPr>
                <w:color w:val="auto"/>
              </w:rPr>
            </w:pPr>
            <w:bookmarkStart w:id="4" w:name="_Hlk75886284"/>
            <w:r w:rsidRPr="00421011">
              <w:rPr>
                <w:color w:val="auto"/>
              </w:rPr>
              <w:t>The data we use includes special category (sensitive) data.  You are not obliged to provide this information.</w:t>
            </w:r>
          </w:p>
        </w:tc>
      </w:tr>
      <w:bookmarkEnd w:id="4"/>
    </w:tbl>
    <w:p w14:paraId="4BFFB739" w14:textId="77777777" w:rsidR="00FD36FE" w:rsidRPr="00421011" w:rsidRDefault="00FD36FE" w:rsidP="00FD36FE">
      <w:pPr>
        <w:pStyle w:val="PCBodyText"/>
        <w:rPr>
          <w:color w:val="auto"/>
        </w:rPr>
      </w:pPr>
    </w:p>
    <w:p w14:paraId="2C24EFCF" w14:textId="6750E3B5" w:rsidR="00FD36FE" w:rsidRPr="00421011" w:rsidRDefault="00FD36FE" w:rsidP="00FD36FE">
      <w:pPr>
        <w:pStyle w:val="PCBodyText"/>
        <w:rPr>
          <w:b/>
          <w:bCs/>
          <w:color w:val="auto"/>
        </w:rPr>
      </w:pPr>
      <w:r w:rsidRPr="00421011">
        <w:rPr>
          <w:b/>
          <w:bCs/>
          <w:color w:val="auto"/>
        </w:rPr>
        <w:t>Our legal reason for using this sensitive data, as provided, is:</w:t>
      </w:r>
    </w:p>
    <w:p w14:paraId="253C8ABF" w14:textId="77777777" w:rsidR="00421011" w:rsidRPr="00421011" w:rsidRDefault="00421011" w:rsidP="00FD36FE">
      <w:pPr>
        <w:pStyle w:val="PCBodyText"/>
        <w:rPr>
          <w:color w:val="auto"/>
        </w:rPr>
      </w:pPr>
    </w:p>
    <w:tbl>
      <w:tblPr>
        <w:tblStyle w:val="TableGrid"/>
        <w:tblW w:w="0" w:type="auto"/>
        <w:tblInd w:w="-95" w:type="dxa"/>
        <w:tblLook w:val="04A0" w:firstRow="1" w:lastRow="0" w:firstColumn="1" w:lastColumn="0" w:noHBand="0" w:noVBand="1"/>
      </w:tblPr>
      <w:tblGrid>
        <w:gridCol w:w="10260"/>
      </w:tblGrid>
      <w:tr w:rsidR="00002EE0" w:rsidRPr="00421011" w14:paraId="36F63012" w14:textId="77777777" w:rsidTr="00002EE0">
        <w:trPr>
          <w:trHeight w:val="1561"/>
        </w:trPr>
        <w:tc>
          <w:tcPr>
            <w:tcW w:w="10260" w:type="dxa"/>
            <w:vAlign w:val="center"/>
          </w:tcPr>
          <w:p w14:paraId="20109378" w14:textId="2EC7BBD4" w:rsidR="00FD36FE" w:rsidRPr="00421011" w:rsidRDefault="00FD36FE" w:rsidP="00002EE0">
            <w:pPr>
              <w:pStyle w:val="PCBodyText"/>
              <w:rPr>
                <w:color w:val="auto"/>
              </w:rPr>
            </w:pPr>
            <w:r w:rsidRPr="00421011">
              <w:rPr>
                <w:color w:val="auto"/>
              </w:rPr>
              <w:t>Processing is necessary for the purposes of carrying out the obligations of the college in the field of social protection law.  All special sensitive data is stored in a secure location.  Data is anonymised and used for the sole purpose of providing statistical analysis on protected characteristics to monitor compliance with the Equality Act 2010 and various Government Agendas (for example, Gender Action Plan; Widening Participation).</w:t>
            </w:r>
          </w:p>
        </w:tc>
      </w:tr>
    </w:tbl>
    <w:p w14:paraId="1D9EF556" w14:textId="77777777" w:rsidR="00FD36FE" w:rsidRPr="00421011" w:rsidRDefault="00FD36FE" w:rsidP="00FD36FE">
      <w:pPr>
        <w:pStyle w:val="PCBodyText"/>
        <w:rPr>
          <w:color w:val="auto"/>
        </w:rPr>
      </w:pPr>
    </w:p>
    <w:p w14:paraId="7636B310" w14:textId="1EA37BC2" w:rsidR="00FD36FE" w:rsidRPr="00421011" w:rsidRDefault="00FD36FE" w:rsidP="00FD36FE">
      <w:pPr>
        <w:pStyle w:val="PCBodyText"/>
        <w:rPr>
          <w:b/>
          <w:bCs/>
          <w:color w:val="auto"/>
        </w:rPr>
      </w:pPr>
      <w:r w:rsidRPr="00421011">
        <w:rPr>
          <w:b/>
          <w:bCs/>
          <w:color w:val="auto"/>
        </w:rPr>
        <w:t>If you were to withhold the personal information we require for this process, the consequences would be:</w:t>
      </w:r>
    </w:p>
    <w:p w14:paraId="00CF8810" w14:textId="77777777" w:rsidR="00421011" w:rsidRPr="00421011" w:rsidRDefault="00421011" w:rsidP="00FD36FE">
      <w:pPr>
        <w:pStyle w:val="PCBodyText"/>
        <w:rPr>
          <w:color w:val="auto"/>
        </w:rPr>
      </w:pPr>
    </w:p>
    <w:tbl>
      <w:tblPr>
        <w:tblStyle w:val="TableGrid"/>
        <w:tblW w:w="0" w:type="auto"/>
        <w:tblInd w:w="-95" w:type="dxa"/>
        <w:tblLook w:val="04A0" w:firstRow="1" w:lastRow="0" w:firstColumn="1" w:lastColumn="0" w:noHBand="0" w:noVBand="1"/>
      </w:tblPr>
      <w:tblGrid>
        <w:gridCol w:w="10260"/>
      </w:tblGrid>
      <w:tr w:rsidR="00002EE0" w:rsidRPr="00421011" w14:paraId="79617E82" w14:textId="77777777" w:rsidTr="00002EE0">
        <w:trPr>
          <w:trHeight w:val="1039"/>
        </w:trPr>
        <w:tc>
          <w:tcPr>
            <w:tcW w:w="10260" w:type="dxa"/>
            <w:vAlign w:val="center"/>
          </w:tcPr>
          <w:p w14:paraId="2B807050" w14:textId="4F4795C3" w:rsidR="00FD36FE" w:rsidRPr="00421011" w:rsidRDefault="00FD36FE" w:rsidP="00002EE0">
            <w:pPr>
              <w:pStyle w:val="PCBodyText"/>
              <w:rPr>
                <w:color w:val="auto"/>
              </w:rPr>
            </w:pPr>
            <w:r w:rsidRPr="00421011">
              <w:rPr>
                <w:color w:val="auto"/>
              </w:rPr>
              <w:t>The college would be unable to process your enrolment on your course.  This would mean that the college would be unable to deliver teaching or provide student service, and your college account would be cancelled.</w:t>
            </w:r>
          </w:p>
        </w:tc>
      </w:tr>
    </w:tbl>
    <w:p w14:paraId="2C3F2C13" w14:textId="77777777" w:rsidR="00FD36FE" w:rsidRPr="00421011" w:rsidRDefault="00FD36FE" w:rsidP="00FD36FE">
      <w:pPr>
        <w:pStyle w:val="PCBodyText"/>
        <w:rPr>
          <w:color w:val="auto"/>
        </w:rPr>
      </w:pPr>
    </w:p>
    <w:p w14:paraId="0E8AAFA5" w14:textId="5B1F6E7C" w:rsidR="00FD36FE" w:rsidRPr="00002EE0" w:rsidRDefault="00FD36FE" w:rsidP="00FD36FE">
      <w:pPr>
        <w:pStyle w:val="PCBodyText"/>
        <w:rPr>
          <w:b/>
          <w:bCs/>
          <w:color w:val="auto"/>
        </w:rPr>
      </w:pPr>
      <w:r w:rsidRPr="00002EE0">
        <w:rPr>
          <w:b/>
          <w:bCs/>
          <w:color w:val="auto"/>
        </w:rPr>
        <w:t>Your data will, or may, be shared with the following recipients or categories of recipient:</w:t>
      </w:r>
    </w:p>
    <w:p w14:paraId="5FDE76CB" w14:textId="77777777" w:rsidR="00421011" w:rsidRPr="00421011" w:rsidRDefault="00421011" w:rsidP="00FD36FE">
      <w:pPr>
        <w:pStyle w:val="PCBodyText"/>
        <w:rPr>
          <w:color w:val="auto"/>
        </w:rPr>
      </w:pPr>
    </w:p>
    <w:tbl>
      <w:tblPr>
        <w:tblStyle w:val="TableGrid"/>
        <w:tblW w:w="0" w:type="auto"/>
        <w:tblInd w:w="-95" w:type="dxa"/>
        <w:tblLook w:val="04A0" w:firstRow="1" w:lastRow="0" w:firstColumn="1" w:lastColumn="0" w:noHBand="0" w:noVBand="1"/>
      </w:tblPr>
      <w:tblGrid>
        <w:gridCol w:w="10260"/>
      </w:tblGrid>
      <w:tr w:rsidR="00002EE0" w:rsidRPr="00421011" w14:paraId="54F232AA" w14:textId="77777777" w:rsidTr="00002EE0">
        <w:trPr>
          <w:trHeight w:val="3739"/>
        </w:trPr>
        <w:tc>
          <w:tcPr>
            <w:tcW w:w="10260" w:type="dxa"/>
            <w:vAlign w:val="center"/>
          </w:tcPr>
          <w:p w14:paraId="7980FF24" w14:textId="5A927581" w:rsidR="00FD36FE" w:rsidRPr="00421011" w:rsidRDefault="00FD36FE" w:rsidP="00002EE0">
            <w:pPr>
              <w:pStyle w:val="PCBullets"/>
            </w:pPr>
            <w:r w:rsidRPr="00421011">
              <w:t xml:space="preserve">The University of the Highlands and Islands, Partnership </w:t>
            </w:r>
            <w:proofErr w:type="gramStart"/>
            <w:r w:rsidRPr="00421011">
              <w:t>Colleges</w:t>
            </w:r>
            <w:proofErr w:type="gramEnd"/>
            <w:r w:rsidRPr="00421011">
              <w:t xml:space="preserve"> and Learning Centres</w:t>
            </w:r>
            <w:r w:rsidR="00002EE0">
              <w:t>.</w:t>
            </w:r>
          </w:p>
          <w:p w14:paraId="64C8FCBD" w14:textId="0AE0510F" w:rsidR="00FD36FE" w:rsidRPr="00421011" w:rsidRDefault="00FD36FE" w:rsidP="00002EE0">
            <w:pPr>
              <w:pStyle w:val="PCBullets"/>
            </w:pPr>
            <w:r w:rsidRPr="00421011">
              <w:t>Highlands and Islands Students' Association (HISA)</w:t>
            </w:r>
            <w:r w:rsidR="00002EE0">
              <w:t>.</w:t>
            </w:r>
          </w:p>
          <w:p w14:paraId="0D94D7D3" w14:textId="37AD353E" w:rsidR="00FD36FE" w:rsidRPr="00421011" w:rsidRDefault="00FD36FE" w:rsidP="00002EE0">
            <w:pPr>
              <w:pStyle w:val="PCBullets"/>
            </w:pPr>
            <w:r w:rsidRPr="00421011">
              <w:t>Scottish Funding Council (SFC) including Assigned Auditors</w:t>
            </w:r>
            <w:r w:rsidR="00002EE0">
              <w:t>.</w:t>
            </w:r>
          </w:p>
          <w:p w14:paraId="2228621E" w14:textId="4E5BED58" w:rsidR="00FD36FE" w:rsidRPr="00421011" w:rsidRDefault="00FD36FE" w:rsidP="00002EE0">
            <w:pPr>
              <w:pStyle w:val="PCBullets"/>
            </w:pPr>
            <w:r w:rsidRPr="00421011">
              <w:t>Scottish Government</w:t>
            </w:r>
            <w:r w:rsidR="00002EE0">
              <w:t>.</w:t>
            </w:r>
          </w:p>
          <w:p w14:paraId="0248CFAD" w14:textId="190E22DB" w:rsidR="00FD36FE" w:rsidRPr="00421011" w:rsidRDefault="00FD36FE" w:rsidP="00002EE0">
            <w:pPr>
              <w:pStyle w:val="PCBullets"/>
            </w:pPr>
            <w:r w:rsidRPr="00421011">
              <w:t>Colleges Scotland</w:t>
            </w:r>
            <w:r w:rsidR="00002EE0">
              <w:t>.</w:t>
            </w:r>
          </w:p>
          <w:p w14:paraId="3E53CADB" w14:textId="0D0BCEED" w:rsidR="00FD36FE" w:rsidRPr="00421011" w:rsidRDefault="00FD36FE" w:rsidP="00002EE0">
            <w:pPr>
              <w:pStyle w:val="PCBullets"/>
            </w:pPr>
            <w:r w:rsidRPr="00421011">
              <w:t>Education Scotland</w:t>
            </w:r>
            <w:r w:rsidR="00002EE0">
              <w:t>.</w:t>
            </w:r>
          </w:p>
          <w:p w14:paraId="2F9A1771" w14:textId="646B8CF7" w:rsidR="00FD36FE" w:rsidRPr="00421011" w:rsidRDefault="00FD36FE" w:rsidP="00002EE0">
            <w:pPr>
              <w:pStyle w:val="PCBullets"/>
            </w:pPr>
            <w:commentRangeStart w:id="5"/>
            <w:r w:rsidRPr="00421011">
              <w:t xml:space="preserve">Awarding bodies </w:t>
            </w:r>
            <w:commentRangeEnd w:id="5"/>
            <w:r w:rsidRPr="00421011">
              <w:rPr>
                <w:rStyle w:val="CommentReference"/>
                <w:color w:val="auto"/>
              </w:rPr>
              <w:commentReference w:id="5"/>
            </w:r>
            <w:r w:rsidRPr="00421011">
              <w:t xml:space="preserve">and accreditation agencies associated with your studies (for example: </w:t>
            </w:r>
            <w:r w:rsidR="00002EE0">
              <w:t xml:space="preserve"> </w:t>
            </w:r>
            <w:r w:rsidRPr="00421011">
              <w:t>SQA, City and Guilds, CMI, British Council)</w:t>
            </w:r>
            <w:r w:rsidR="00002EE0">
              <w:t>.</w:t>
            </w:r>
          </w:p>
          <w:p w14:paraId="45821966" w14:textId="65F0DD6D" w:rsidR="00FD36FE" w:rsidRPr="00421011" w:rsidRDefault="00FD36FE" w:rsidP="00002EE0">
            <w:pPr>
              <w:pStyle w:val="PCBullets"/>
            </w:pPr>
            <w:r w:rsidRPr="00421011">
              <w:t>Employers and Managing Authorities/Agents who are supporting or funding your studies</w:t>
            </w:r>
            <w:r w:rsidR="00002EE0">
              <w:t>.</w:t>
            </w:r>
          </w:p>
          <w:p w14:paraId="2B15459B" w14:textId="67E56216" w:rsidR="00FD36FE" w:rsidRPr="00421011" w:rsidRDefault="00FD36FE" w:rsidP="00002EE0">
            <w:pPr>
              <w:pStyle w:val="PCBullets"/>
            </w:pPr>
            <w:r w:rsidRPr="00421011">
              <w:t>National Entitlement Card Programme Office (NEPCO) – should you qualify for a travel pass</w:t>
            </w:r>
            <w:r w:rsidR="00002EE0">
              <w:t>.</w:t>
            </w:r>
          </w:p>
          <w:p w14:paraId="6A1C2632" w14:textId="5FCA1DC8" w:rsidR="00FD36FE" w:rsidRPr="00421011" w:rsidRDefault="00FD36FE" w:rsidP="00002EE0">
            <w:pPr>
              <w:pStyle w:val="PCBullets"/>
            </w:pPr>
            <w:r w:rsidRPr="00421011">
              <w:t>Where we are obliged to do so by law including court orders or other regulatory bodies</w:t>
            </w:r>
            <w:r w:rsidR="00002EE0">
              <w:t>.</w:t>
            </w:r>
          </w:p>
        </w:tc>
      </w:tr>
    </w:tbl>
    <w:p w14:paraId="6A8E902D" w14:textId="77777777" w:rsidR="00FD36FE" w:rsidRPr="00421011" w:rsidRDefault="00FD36FE" w:rsidP="00FD36FE">
      <w:pPr>
        <w:pStyle w:val="PCBodyText"/>
        <w:rPr>
          <w:bCs/>
          <w:color w:val="auto"/>
        </w:rPr>
      </w:pPr>
    </w:p>
    <w:p w14:paraId="26D44DD4" w14:textId="77777777" w:rsidR="00002EE0" w:rsidRDefault="00FD36FE" w:rsidP="00FD36FE">
      <w:pPr>
        <w:pStyle w:val="PCBodyText"/>
        <w:rPr>
          <w:bCs/>
          <w:color w:val="auto"/>
        </w:rPr>
      </w:pPr>
      <w:r w:rsidRPr="00002EE0">
        <w:rPr>
          <w:b/>
          <w:color w:val="auto"/>
        </w:rPr>
        <w:t>Your data will be retained as specified under the terms of the College’s Records Management Policy:</w:t>
      </w:r>
      <w:r w:rsidRPr="00421011">
        <w:rPr>
          <w:bCs/>
          <w:color w:val="auto"/>
        </w:rPr>
        <w:t xml:space="preserve">  </w:t>
      </w:r>
    </w:p>
    <w:p w14:paraId="448353B3" w14:textId="77777777" w:rsidR="00002EE0" w:rsidRPr="00002EE0" w:rsidRDefault="00002EE0" w:rsidP="00FD36FE">
      <w:pPr>
        <w:pStyle w:val="PCBodyText"/>
        <w:rPr>
          <w:bCs/>
          <w:color w:val="auto"/>
        </w:rPr>
      </w:pPr>
    </w:p>
    <w:p w14:paraId="696B79CE" w14:textId="5B2CB11F" w:rsidR="00002EE0" w:rsidRPr="00002EE0" w:rsidRDefault="00707878" w:rsidP="00FD36FE">
      <w:pPr>
        <w:pStyle w:val="PCBodyText"/>
        <w:rPr>
          <w:bCs/>
          <w:color w:val="auto"/>
        </w:rPr>
      </w:pPr>
      <w:hyperlink r:id="rId16" w:history="1">
        <w:r w:rsidR="00002EE0" w:rsidRPr="00002EE0">
          <w:rPr>
            <w:rStyle w:val="Hyperlink"/>
            <w:bCs/>
            <w:color w:val="auto"/>
            <w:u w:val="none"/>
          </w:rPr>
          <w:t>https://www.perth.uhi.ac.uk/t4-media/one-web/perth/about-us/policies-regulations-and-guidelines/records-management-policy-and-procedure.pdf</w:t>
        </w:r>
      </w:hyperlink>
    </w:p>
    <w:p w14:paraId="1D177654" w14:textId="77777777" w:rsidR="00002EE0" w:rsidRDefault="00002EE0" w:rsidP="00FD36FE">
      <w:pPr>
        <w:pStyle w:val="PCBodyText"/>
        <w:rPr>
          <w:bCs/>
          <w:color w:val="auto"/>
        </w:rPr>
      </w:pPr>
      <w:r>
        <w:rPr>
          <w:bCs/>
          <w:color w:val="auto"/>
        </w:rPr>
        <w:br w:type="page"/>
      </w:r>
    </w:p>
    <w:p w14:paraId="201DE9F4" w14:textId="47813636" w:rsidR="00FD36FE" w:rsidRPr="00002EE0" w:rsidRDefault="00FD36FE" w:rsidP="00FD36FE">
      <w:pPr>
        <w:pStyle w:val="PCBodyText"/>
        <w:rPr>
          <w:b/>
          <w:color w:val="auto"/>
        </w:rPr>
      </w:pPr>
      <w:r w:rsidRPr="00002EE0">
        <w:rPr>
          <w:b/>
          <w:color w:val="auto"/>
        </w:rPr>
        <w:lastRenderedPageBreak/>
        <w:t>The following rights are rights of data subjects:</w:t>
      </w:r>
    </w:p>
    <w:p w14:paraId="430980EC" w14:textId="77777777" w:rsidR="00002EE0" w:rsidRPr="00421011" w:rsidRDefault="00002EE0" w:rsidP="00FD36FE">
      <w:pPr>
        <w:pStyle w:val="PCBodyText"/>
        <w:rPr>
          <w:bCs/>
          <w:color w:val="auto"/>
        </w:rPr>
      </w:pPr>
    </w:p>
    <w:p w14:paraId="36A4EAFE" w14:textId="22AD78DE" w:rsidR="00FD36FE" w:rsidRPr="00421011" w:rsidRDefault="00FD36FE" w:rsidP="00002EE0">
      <w:pPr>
        <w:pStyle w:val="PCBullets"/>
      </w:pPr>
      <w:r w:rsidRPr="00421011">
        <w:t>The right to access your personal data</w:t>
      </w:r>
      <w:r w:rsidR="00002EE0">
        <w:t>.</w:t>
      </w:r>
    </w:p>
    <w:p w14:paraId="6FD7D256" w14:textId="7402AEC4" w:rsidR="00FD36FE" w:rsidRPr="00421011" w:rsidRDefault="00FD36FE" w:rsidP="00002EE0">
      <w:pPr>
        <w:pStyle w:val="PCBullets"/>
      </w:pPr>
      <w:r w:rsidRPr="00421011">
        <w:t>The right to rectification if the personal data we hold about you is incorrect</w:t>
      </w:r>
      <w:r w:rsidR="00002EE0">
        <w:t>.</w:t>
      </w:r>
    </w:p>
    <w:p w14:paraId="45AD12B2" w14:textId="269E835B" w:rsidR="00FD36FE" w:rsidRPr="00421011" w:rsidRDefault="00FD36FE" w:rsidP="00002EE0">
      <w:pPr>
        <w:pStyle w:val="PCBullets"/>
      </w:pPr>
      <w:r w:rsidRPr="00421011">
        <w:t>The right to restrict processing of your personal data</w:t>
      </w:r>
      <w:r w:rsidR="00002EE0">
        <w:t>.</w:t>
      </w:r>
    </w:p>
    <w:p w14:paraId="1BB30E68" w14:textId="77777777" w:rsidR="00FD36FE" w:rsidRPr="00421011" w:rsidRDefault="00FD36FE" w:rsidP="00FD36FE">
      <w:pPr>
        <w:pStyle w:val="PCBodyText"/>
        <w:rPr>
          <w:bCs/>
          <w:color w:val="auto"/>
        </w:rPr>
      </w:pPr>
    </w:p>
    <w:p w14:paraId="3F3C7A28" w14:textId="5EA3A643" w:rsidR="00FD36FE" w:rsidRPr="00002EE0" w:rsidRDefault="00FD36FE" w:rsidP="00FD36FE">
      <w:pPr>
        <w:pStyle w:val="PCBodyText"/>
        <w:rPr>
          <w:b/>
          <w:color w:val="auto"/>
        </w:rPr>
      </w:pPr>
      <w:r w:rsidRPr="00002EE0">
        <w:rPr>
          <w:b/>
          <w:color w:val="auto"/>
        </w:rPr>
        <w:t>The following rights apply only in certain circumstances:</w:t>
      </w:r>
    </w:p>
    <w:p w14:paraId="472E51F3" w14:textId="77777777" w:rsidR="00002EE0" w:rsidRPr="00421011" w:rsidRDefault="00002EE0" w:rsidP="00FD36FE">
      <w:pPr>
        <w:pStyle w:val="PCBodyText"/>
        <w:rPr>
          <w:bCs/>
          <w:color w:val="auto"/>
        </w:rPr>
      </w:pPr>
    </w:p>
    <w:p w14:paraId="0E272A39" w14:textId="299D0576" w:rsidR="00FD36FE" w:rsidRPr="00421011" w:rsidRDefault="00FD36FE" w:rsidP="00002EE0">
      <w:pPr>
        <w:pStyle w:val="PCBullets"/>
      </w:pPr>
      <w:r w:rsidRPr="00421011">
        <w:t>The</w:t>
      </w:r>
      <w:r w:rsidRPr="00421011">
        <w:rPr>
          <w:i/>
          <w:iCs/>
        </w:rPr>
        <w:t xml:space="preserve"> </w:t>
      </w:r>
      <w:r w:rsidRPr="00421011">
        <w:t>right to withdraw consent at any time if consent is our lawful basis for processing your data</w:t>
      </w:r>
      <w:r w:rsidR="00002EE0">
        <w:t>.</w:t>
      </w:r>
    </w:p>
    <w:p w14:paraId="0F8B9072" w14:textId="2EE53132" w:rsidR="00FD36FE" w:rsidRPr="00421011" w:rsidRDefault="00FD36FE" w:rsidP="00002EE0">
      <w:pPr>
        <w:pStyle w:val="PCBullets"/>
      </w:pPr>
      <w:r w:rsidRPr="00421011">
        <w:t>The right to object to our processing of your personal data</w:t>
      </w:r>
      <w:r w:rsidR="00002EE0">
        <w:t>.</w:t>
      </w:r>
    </w:p>
    <w:p w14:paraId="783120AE" w14:textId="2E5285D6" w:rsidR="00FD36FE" w:rsidRPr="00421011" w:rsidRDefault="00FD36FE" w:rsidP="00002EE0">
      <w:pPr>
        <w:pStyle w:val="PCBullets"/>
      </w:pPr>
      <w:r w:rsidRPr="00421011">
        <w:t>The right to request erasure (deletion) of your personal data</w:t>
      </w:r>
      <w:r w:rsidR="00002EE0">
        <w:t>.</w:t>
      </w:r>
    </w:p>
    <w:p w14:paraId="0FBFA70E" w14:textId="073C45E8" w:rsidR="00FD36FE" w:rsidRPr="00421011" w:rsidRDefault="00FD36FE" w:rsidP="00002EE0">
      <w:pPr>
        <w:pStyle w:val="PCBullets"/>
      </w:pPr>
      <w:r w:rsidRPr="00421011">
        <w:t>The right to data portability</w:t>
      </w:r>
      <w:r w:rsidR="00002EE0">
        <w:t>.</w:t>
      </w:r>
    </w:p>
    <w:p w14:paraId="467870AB" w14:textId="77777777" w:rsidR="00FD36FE" w:rsidRPr="00421011" w:rsidRDefault="00FD36FE" w:rsidP="00FD36FE">
      <w:pPr>
        <w:pStyle w:val="PCBodyText"/>
        <w:rPr>
          <w:bCs/>
          <w:color w:val="auto"/>
        </w:rPr>
      </w:pPr>
    </w:p>
    <w:p w14:paraId="15872CE3" w14:textId="77777777" w:rsidR="00FD36FE" w:rsidRPr="00002EE0" w:rsidRDefault="00FD36FE" w:rsidP="00FD36FE">
      <w:pPr>
        <w:pStyle w:val="PCBodyText"/>
        <w:rPr>
          <w:b/>
          <w:color w:val="auto"/>
        </w:rPr>
      </w:pPr>
      <w:r w:rsidRPr="00002EE0">
        <w:rPr>
          <w:b/>
          <w:color w:val="auto"/>
        </w:rPr>
        <w:t>You also have the right to lodge a complaint with the Information Commissioner’s Office about our handling of your data.</w:t>
      </w:r>
    </w:p>
    <w:p w14:paraId="501BABF6" w14:textId="48A589D0" w:rsidR="004322B5" w:rsidRPr="00421011" w:rsidRDefault="004322B5" w:rsidP="00FD36FE">
      <w:pPr>
        <w:pStyle w:val="PCBodyText"/>
        <w:rPr>
          <w:color w:val="auto"/>
        </w:rPr>
      </w:pPr>
    </w:p>
    <w:sectPr w:rsidR="004322B5" w:rsidRPr="00421011" w:rsidSect="00002EE0">
      <w:footerReference w:type="default" r:id="rId17"/>
      <w:footerReference w:type="first" r:id="rId18"/>
      <w:pgSz w:w="11906" w:h="16838" w:code="9"/>
      <w:pgMar w:top="850" w:right="850" w:bottom="1526" w:left="850" w:header="706" w:footer="74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ohn Small" w:date="2021-06-30T09:20:00Z" w:initials="JS">
    <w:p w14:paraId="7DD1AEFE" w14:textId="77777777" w:rsidR="00FD36FE" w:rsidRDefault="00FD36FE" w:rsidP="00FD36FE">
      <w:pPr>
        <w:pStyle w:val="CommentText"/>
      </w:pPr>
      <w:r>
        <w:rPr>
          <w:rStyle w:val="CommentReference"/>
        </w:rPr>
        <w:annotationRef/>
      </w:r>
      <w:r>
        <w:t>and accreditation agencies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D1AEF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6B5F4" w16cex:dateUtc="2021-06-30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1AEFE" w16cid:durableId="2486B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0133" w14:textId="77777777" w:rsidR="009608A0" w:rsidRDefault="009608A0" w:rsidP="004903FF">
      <w:r>
        <w:separator/>
      </w:r>
    </w:p>
  </w:endnote>
  <w:endnote w:type="continuationSeparator" w:id="0">
    <w:p w14:paraId="4BE019AB" w14:textId="77777777" w:rsidR="009608A0" w:rsidRDefault="009608A0" w:rsidP="0049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F1D7" w14:textId="77777777" w:rsidR="00002EE0" w:rsidRDefault="00002EE0" w:rsidP="00002EE0">
    <w:pPr>
      <w:pStyle w:val="Footer"/>
      <w:tabs>
        <w:tab w:val="clear" w:pos="4513"/>
        <w:tab w:val="clear" w:pos="9026"/>
        <w:tab w:val="center" w:pos="5103"/>
        <w:tab w:val="right" w:pos="15026"/>
      </w:tabs>
      <w:rPr>
        <w:sz w:val="20"/>
      </w:rPr>
    </w:pPr>
    <w:r>
      <w:rPr>
        <w:noProof/>
      </w:rPr>
      <w:drawing>
        <wp:anchor distT="0" distB="0" distL="114300" distR="114300" simplePos="0" relativeHeight="251662336" behindDoc="0" locked="0" layoutInCell="1" allowOverlap="1" wp14:anchorId="0742C6A9" wp14:editId="27CBF71F">
          <wp:simplePos x="0" y="0"/>
          <wp:positionH relativeFrom="column">
            <wp:posOffset>4098290</wp:posOffset>
          </wp:positionH>
          <wp:positionV relativeFrom="paragraph">
            <wp:posOffset>-283845</wp:posOffset>
          </wp:positionV>
          <wp:extent cx="2592705" cy="641759"/>
          <wp:effectExtent l="0" t="0" r="0" b="6350"/>
          <wp:wrapNone/>
          <wp:docPr id="8" name="Picture 8" descr="UHI Pe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HI Perth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705" cy="641759"/>
                  </a:xfrm>
                  <a:prstGeom prst="rect">
                    <a:avLst/>
                  </a:prstGeom>
                </pic:spPr>
              </pic:pic>
            </a:graphicData>
          </a:graphic>
          <wp14:sizeRelH relativeFrom="page">
            <wp14:pctWidth>0</wp14:pctWidth>
          </wp14:sizeRelH>
          <wp14:sizeRelV relativeFrom="page">
            <wp14:pctHeight>0</wp14:pctHeight>
          </wp14:sizeRelV>
        </wp:anchor>
      </w:drawing>
    </w:r>
    <w:r>
      <w:rPr>
        <w:sz w:val="20"/>
      </w:rPr>
      <w:t>ILS/202/LS/BH</w:t>
    </w:r>
    <w:r>
      <w:rPr>
        <w:sz w:val="20"/>
      </w:rPr>
      <w:tab/>
    </w:r>
    <w:r w:rsidRPr="00FD36FE">
      <w:rPr>
        <w:sz w:val="20"/>
      </w:rPr>
      <w:fldChar w:fldCharType="begin"/>
    </w:r>
    <w:r w:rsidRPr="00FD36FE">
      <w:rPr>
        <w:sz w:val="20"/>
      </w:rPr>
      <w:instrText xml:space="preserve"> PAGE   \* MERGEFORMAT </w:instrText>
    </w:r>
    <w:r w:rsidRPr="00FD36FE">
      <w:rPr>
        <w:sz w:val="20"/>
      </w:rPr>
      <w:fldChar w:fldCharType="separate"/>
    </w:r>
    <w:r>
      <w:rPr>
        <w:sz w:val="20"/>
      </w:rPr>
      <w:t>1</w:t>
    </w:r>
    <w:r w:rsidRPr="00FD36FE">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B546" w14:textId="0791981D" w:rsidR="0068721F" w:rsidRDefault="000A337D" w:rsidP="003D2003">
    <w:pPr>
      <w:pStyle w:val="Footer"/>
      <w:tabs>
        <w:tab w:val="clear" w:pos="4513"/>
        <w:tab w:val="clear" w:pos="9026"/>
        <w:tab w:val="center" w:pos="5103"/>
        <w:tab w:val="right" w:pos="15026"/>
      </w:tabs>
      <w:rPr>
        <w:sz w:val="20"/>
      </w:rPr>
    </w:pPr>
    <w:r>
      <w:rPr>
        <w:noProof/>
      </w:rPr>
      <w:drawing>
        <wp:anchor distT="0" distB="0" distL="114300" distR="114300" simplePos="0" relativeHeight="251660288" behindDoc="0" locked="0" layoutInCell="1" allowOverlap="1" wp14:anchorId="5D7F56AC" wp14:editId="036DB1B5">
          <wp:simplePos x="0" y="0"/>
          <wp:positionH relativeFrom="column">
            <wp:posOffset>4098290</wp:posOffset>
          </wp:positionH>
          <wp:positionV relativeFrom="paragraph">
            <wp:posOffset>-283845</wp:posOffset>
          </wp:positionV>
          <wp:extent cx="2592705" cy="641759"/>
          <wp:effectExtent l="0" t="0" r="0" b="6350"/>
          <wp:wrapNone/>
          <wp:docPr id="6" name="Picture 6" descr="UHI Pe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HI Perth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705" cy="641759"/>
                  </a:xfrm>
                  <a:prstGeom prst="rect">
                    <a:avLst/>
                  </a:prstGeom>
                </pic:spPr>
              </pic:pic>
            </a:graphicData>
          </a:graphic>
          <wp14:sizeRelH relativeFrom="page">
            <wp14:pctWidth>0</wp14:pctWidth>
          </wp14:sizeRelH>
          <wp14:sizeRelV relativeFrom="page">
            <wp14:pctHeight>0</wp14:pctHeight>
          </wp14:sizeRelV>
        </wp:anchor>
      </w:drawing>
    </w:r>
    <w:r w:rsidR="00FD36FE">
      <w:rPr>
        <w:sz w:val="20"/>
      </w:rPr>
      <w:t>ILS/202/LS/BH</w:t>
    </w:r>
    <w:r w:rsidR="00FD36FE">
      <w:rPr>
        <w:sz w:val="20"/>
      </w:rPr>
      <w:tab/>
    </w:r>
    <w:r w:rsidR="00FD36FE" w:rsidRPr="00FD36FE">
      <w:rPr>
        <w:sz w:val="20"/>
      </w:rPr>
      <w:fldChar w:fldCharType="begin"/>
    </w:r>
    <w:r w:rsidR="00FD36FE" w:rsidRPr="00FD36FE">
      <w:rPr>
        <w:sz w:val="20"/>
      </w:rPr>
      <w:instrText xml:space="preserve"> PAGE   \* MERGEFORMAT </w:instrText>
    </w:r>
    <w:r w:rsidR="00FD36FE" w:rsidRPr="00FD36FE">
      <w:rPr>
        <w:sz w:val="20"/>
      </w:rPr>
      <w:fldChar w:fldCharType="separate"/>
    </w:r>
    <w:r w:rsidR="00FD36FE" w:rsidRPr="00FD36FE">
      <w:rPr>
        <w:noProof/>
        <w:sz w:val="20"/>
      </w:rPr>
      <w:t>1</w:t>
    </w:r>
    <w:r w:rsidR="00FD36FE" w:rsidRPr="00FD36F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46B7" w14:textId="77777777" w:rsidR="009608A0" w:rsidRDefault="009608A0" w:rsidP="004903FF">
      <w:r>
        <w:separator/>
      </w:r>
    </w:p>
  </w:footnote>
  <w:footnote w:type="continuationSeparator" w:id="0">
    <w:p w14:paraId="05360834" w14:textId="77777777" w:rsidR="009608A0" w:rsidRDefault="009608A0" w:rsidP="0049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20B3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22E72"/>
    <w:multiLevelType w:val="hybridMultilevel"/>
    <w:tmpl w:val="0ED6A2B6"/>
    <w:lvl w:ilvl="0" w:tplc="B1963E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A5146"/>
    <w:multiLevelType w:val="hybridMultilevel"/>
    <w:tmpl w:val="49327190"/>
    <w:lvl w:ilvl="0" w:tplc="61185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922C1"/>
    <w:multiLevelType w:val="hybridMultilevel"/>
    <w:tmpl w:val="1896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C6A96"/>
    <w:multiLevelType w:val="hybridMultilevel"/>
    <w:tmpl w:val="9EC6B324"/>
    <w:lvl w:ilvl="0" w:tplc="F25682FC">
      <w:start w:val="1"/>
      <w:numFmt w:val="bullet"/>
      <w:pStyle w:val="PC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B7789"/>
    <w:multiLevelType w:val="hybridMultilevel"/>
    <w:tmpl w:val="288E1534"/>
    <w:lvl w:ilvl="0" w:tplc="1809000F">
      <w:start w:val="1"/>
      <w:numFmt w:val="decimal"/>
      <w:lvlText w:val="%1."/>
      <w:lvlJc w:val="left"/>
      <w:pPr>
        <w:ind w:left="766" w:hanging="360"/>
      </w:pPr>
    </w:lvl>
    <w:lvl w:ilvl="1" w:tplc="18090019" w:tentative="1">
      <w:start w:val="1"/>
      <w:numFmt w:val="lowerLetter"/>
      <w:lvlText w:val="%2."/>
      <w:lvlJc w:val="left"/>
      <w:pPr>
        <w:ind w:left="1486" w:hanging="360"/>
      </w:pPr>
    </w:lvl>
    <w:lvl w:ilvl="2" w:tplc="1809001B" w:tentative="1">
      <w:start w:val="1"/>
      <w:numFmt w:val="lowerRoman"/>
      <w:lvlText w:val="%3."/>
      <w:lvlJc w:val="right"/>
      <w:pPr>
        <w:ind w:left="2206" w:hanging="180"/>
      </w:pPr>
    </w:lvl>
    <w:lvl w:ilvl="3" w:tplc="1809000F" w:tentative="1">
      <w:start w:val="1"/>
      <w:numFmt w:val="decimal"/>
      <w:lvlText w:val="%4."/>
      <w:lvlJc w:val="left"/>
      <w:pPr>
        <w:ind w:left="2926" w:hanging="360"/>
      </w:pPr>
    </w:lvl>
    <w:lvl w:ilvl="4" w:tplc="18090019" w:tentative="1">
      <w:start w:val="1"/>
      <w:numFmt w:val="lowerLetter"/>
      <w:lvlText w:val="%5."/>
      <w:lvlJc w:val="left"/>
      <w:pPr>
        <w:ind w:left="3646" w:hanging="360"/>
      </w:pPr>
    </w:lvl>
    <w:lvl w:ilvl="5" w:tplc="1809001B" w:tentative="1">
      <w:start w:val="1"/>
      <w:numFmt w:val="lowerRoman"/>
      <w:lvlText w:val="%6."/>
      <w:lvlJc w:val="right"/>
      <w:pPr>
        <w:ind w:left="4366" w:hanging="180"/>
      </w:pPr>
    </w:lvl>
    <w:lvl w:ilvl="6" w:tplc="1809000F" w:tentative="1">
      <w:start w:val="1"/>
      <w:numFmt w:val="decimal"/>
      <w:lvlText w:val="%7."/>
      <w:lvlJc w:val="left"/>
      <w:pPr>
        <w:ind w:left="5086" w:hanging="360"/>
      </w:pPr>
    </w:lvl>
    <w:lvl w:ilvl="7" w:tplc="18090019" w:tentative="1">
      <w:start w:val="1"/>
      <w:numFmt w:val="lowerLetter"/>
      <w:lvlText w:val="%8."/>
      <w:lvlJc w:val="left"/>
      <w:pPr>
        <w:ind w:left="5806" w:hanging="360"/>
      </w:pPr>
    </w:lvl>
    <w:lvl w:ilvl="8" w:tplc="1809001B" w:tentative="1">
      <w:start w:val="1"/>
      <w:numFmt w:val="lowerRoman"/>
      <w:lvlText w:val="%9."/>
      <w:lvlJc w:val="right"/>
      <w:pPr>
        <w:ind w:left="6526" w:hanging="180"/>
      </w:pPr>
    </w:lvl>
  </w:abstractNum>
  <w:abstractNum w:abstractNumId="6" w15:restartNumberingAfterBreak="0">
    <w:nsid w:val="7FFC2D92"/>
    <w:multiLevelType w:val="hybridMultilevel"/>
    <w:tmpl w:val="493271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8083791">
    <w:abstractNumId w:val="4"/>
  </w:num>
  <w:num w:numId="2" w16cid:durableId="1801996946">
    <w:abstractNumId w:val="1"/>
  </w:num>
  <w:num w:numId="3" w16cid:durableId="1998074564">
    <w:abstractNumId w:val="4"/>
  </w:num>
  <w:num w:numId="4" w16cid:durableId="576475197">
    <w:abstractNumId w:val="4"/>
  </w:num>
  <w:num w:numId="5" w16cid:durableId="1773277218">
    <w:abstractNumId w:val="0"/>
  </w:num>
  <w:num w:numId="6" w16cid:durableId="1693528723">
    <w:abstractNumId w:val="5"/>
  </w:num>
  <w:num w:numId="7" w16cid:durableId="1997419523">
    <w:abstractNumId w:val="3"/>
  </w:num>
  <w:num w:numId="8" w16cid:durableId="1009024475">
    <w:abstractNumId w:val="2"/>
  </w:num>
  <w:num w:numId="9" w16cid:durableId="917104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Small">
    <w15:presenceInfo w15:providerId="AD" w15:userId="S::PE10JS@uhi.ac.uk::4ef6e038-fc97-4845-80c1-523cf0ee0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55"/>
    <w:rsid w:val="00002EE0"/>
    <w:rsid w:val="00006F16"/>
    <w:rsid w:val="000412A8"/>
    <w:rsid w:val="0005697A"/>
    <w:rsid w:val="00086071"/>
    <w:rsid w:val="000A337D"/>
    <w:rsid w:val="000F2D94"/>
    <w:rsid w:val="001879C0"/>
    <w:rsid w:val="002931A6"/>
    <w:rsid w:val="002A498C"/>
    <w:rsid w:val="003C55A7"/>
    <w:rsid w:val="003D2003"/>
    <w:rsid w:val="003E3B0E"/>
    <w:rsid w:val="00421011"/>
    <w:rsid w:val="004322B5"/>
    <w:rsid w:val="0047180A"/>
    <w:rsid w:val="0048797A"/>
    <w:rsid w:val="004903FF"/>
    <w:rsid w:val="004A4137"/>
    <w:rsid w:val="0050668E"/>
    <w:rsid w:val="00515EB8"/>
    <w:rsid w:val="00535839"/>
    <w:rsid w:val="00572629"/>
    <w:rsid w:val="0058718E"/>
    <w:rsid w:val="005932AA"/>
    <w:rsid w:val="005B01BE"/>
    <w:rsid w:val="005D64FD"/>
    <w:rsid w:val="005F3328"/>
    <w:rsid w:val="006214E3"/>
    <w:rsid w:val="00681ECA"/>
    <w:rsid w:val="0068721F"/>
    <w:rsid w:val="00687FFA"/>
    <w:rsid w:val="00702CDC"/>
    <w:rsid w:val="00707878"/>
    <w:rsid w:val="0071640C"/>
    <w:rsid w:val="00781331"/>
    <w:rsid w:val="00782A8A"/>
    <w:rsid w:val="007B1434"/>
    <w:rsid w:val="00852AF7"/>
    <w:rsid w:val="00905423"/>
    <w:rsid w:val="00951BFA"/>
    <w:rsid w:val="009608A0"/>
    <w:rsid w:val="00983121"/>
    <w:rsid w:val="009D1DA9"/>
    <w:rsid w:val="00AA2CF0"/>
    <w:rsid w:val="00B53865"/>
    <w:rsid w:val="00B56AA4"/>
    <w:rsid w:val="00C3354B"/>
    <w:rsid w:val="00C65FB0"/>
    <w:rsid w:val="00CC1AFD"/>
    <w:rsid w:val="00D71C55"/>
    <w:rsid w:val="00DB43B8"/>
    <w:rsid w:val="00E216C1"/>
    <w:rsid w:val="00F1393F"/>
    <w:rsid w:val="00F34536"/>
    <w:rsid w:val="00FA5CCD"/>
    <w:rsid w:val="00FB5E07"/>
    <w:rsid w:val="00FD36FE"/>
    <w:rsid w:val="00FE5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D0EC5"/>
  <w15:chartTrackingRefBased/>
  <w15:docId w15:val="{59357F11-89D5-4241-BA29-D321C4F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lang w:val="en-GB"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AA2C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AA2C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6AA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137"/>
    <w:pPr>
      <w:ind w:left="720"/>
      <w:contextualSpacing/>
    </w:pPr>
  </w:style>
  <w:style w:type="paragraph" w:customStyle="1" w:styleId="PCHeading1">
    <w:name w:val="PC Heading 1"/>
    <w:basedOn w:val="Heading1"/>
    <w:qFormat/>
    <w:rsid w:val="00AA2CF0"/>
    <w:pPr>
      <w:spacing w:before="0"/>
      <w:ind w:left="0" w:firstLine="0"/>
    </w:pPr>
    <w:rPr>
      <w:rFonts w:ascii="Arial" w:hAnsi="Arial"/>
      <w:b/>
      <w:color w:val="auto"/>
    </w:rPr>
  </w:style>
  <w:style w:type="paragraph" w:customStyle="1" w:styleId="PCHeading2">
    <w:name w:val="PC Heading 2"/>
    <w:basedOn w:val="Heading2"/>
    <w:qFormat/>
    <w:rsid w:val="00AA2CF0"/>
    <w:pPr>
      <w:spacing w:before="0"/>
      <w:ind w:left="0" w:firstLine="0"/>
    </w:pPr>
    <w:rPr>
      <w:rFonts w:ascii="Arial" w:hAnsi="Arial"/>
      <w:b/>
      <w:color w:val="auto"/>
      <w:sz w:val="28"/>
      <w:szCs w:val="28"/>
    </w:rPr>
  </w:style>
  <w:style w:type="paragraph" w:customStyle="1" w:styleId="PCHeading3">
    <w:name w:val="PC Heading 3"/>
    <w:basedOn w:val="Heading3"/>
    <w:qFormat/>
    <w:rsid w:val="00B56AA4"/>
    <w:pPr>
      <w:spacing w:before="0"/>
      <w:ind w:left="0" w:firstLine="0"/>
    </w:pPr>
    <w:rPr>
      <w:rFonts w:ascii="Arial" w:hAnsi="Arial"/>
      <w:b/>
      <w:color w:val="auto"/>
    </w:rPr>
  </w:style>
  <w:style w:type="paragraph" w:customStyle="1" w:styleId="PCBodyText">
    <w:name w:val="PC Body Text"/>
    <w:basedOn w:val="Normal"/>
    <w:qFormat/>
    <w:rsid w:val="00B56AA4"/>
    <w:pPr>
      <w:ind w:left="0" w:firstLine="0"/>
    </w:pPr>
  </w:style>
  <w:style w:type="paragraph" w:customStyle="1" w:styleId="PCBullets">
    <w:name w:val="PC Bullets"/>
    <w:basedOn w:val="ListBullet"/>
    <w:qFormat/>
    <w:rsid w:val="00B56AA4"/>
    <w:pPr>
      <w:numPr>
        <w:numId w:val="1"/>
      </w:numPr>
      <w:ind w:left="360"/>
    </w:pPr>
  </w:style>
  <w:style w:type="paragraph" w:styleId="Header">
    <w:name w:val="header"/>
    <w:basedOn w:val="Normal"/>
    <w:link w:val="HeaderChar"/>
    <w:uiPriority w:val="99"/>
    <w:unhideWhenUsed/>
    <w:rsid w:val="004903FF"/>
    <w:pPr>
      <w:tabs>
        <w:tab w:val="center" w:pos="4513"/>
        <w:tab w:val="right" w:pos="9026"/>
      </w:tabs>
    </w:pPr>
  </w:style>
  <w:style w:type="character" w:customStyle="1" w:styleId="HeaderChar">
    <w:name w:val="Header Char"/>
    <w:basedOn w:val="DefaultParagraphFont"/>
    <w:link w:val="Header"/>
    <w:uiPriority w:val="99"/>
    <w:rsid w:val="004903FF"/>
  </w:style>
  <w:style w:type="paragraph" w:styleId="Footer">
    <w:name w:val="footer"/>
    <w:basedOn w:val="Normal"/>
    <w:link w:val="FooterChar"/>
    <w:uiPriority w:val="99"/>
    <w:unhideWhenUsed/>
    <w:rsid w:val="004903FF"/>
    <w:pPr>
      <w:tabs>
        <w:tab w:val="center" w:pos="4513"/>
        <w:tab w:val="right" w:pos="9026"/>
      </w:tabs>
    </w:pPr>
  </w:style>
  <w:style w:type="character" w:customStyle="1" w:styleId="FooterChar">
    <w:name w:val="Footer Char"/>
    <w:basedOn w:val="DefaultParagraphFont"/>
    <w:link w:val="Footer"/>
    <w:uiPriority w:val="99"/>
    <w:rsid w:val="004903FF"/>
  </w:style>
  <w:style w:type="table" w:styleId="TableGrid">
    <w:name w:val="Table Grid"/>
    <w:basedOn w:val="TableNormal"/>
    <w:uiPriority w:val="39"/>
    <w:rsid w:val="00C3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CA"/>
    <w:rPr>
      <w:rFonts w:ascii="Segoe UI" w:hAnsi="Segoe UI" w:cs="Segoe UI"/>
      <w:sz w:val="18"/>
      <w:szCs w:val="18"/>
    </w:rPr>
  </w:style>
  <w:style w:type="character" w:customStyle="1" w:styleId="Heading1Char">
    <w:name w:val="Heading 1 Char"/>
    <w:basedOn w:val="DefaultParagraphFont"/>
    <w:link w:val="Heading1"/>
    <w:uiPriority w:val="9"/>
    <w:rsid w:val="00AA2C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A2C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6AA4"/>
    <w:rPr>
      <w:rFonts w:asciiTheme="majorHAnsi" w:eastAsiaTheme="majorEastAsia" w:hAnsiTheme="majorHAnsi" w:cstheme="majorBidi"/>
      <w:color w:val="1F4D78" w:themeColor="accent1" w:themeShade="7F"/>
      <w:szCs w:val="24"/>
    </w:rPr>
  </w:style>
  <w:style w:type="paragraph" w:styleId="ListBullet">
    <w:name w:val="List Bullet"/>
    <w:basedOn w:val="Normal"/>
    <w:uiPriority w:val="99"/>
    <w:semiHidden/>
    <w:unhideWhenUsed/>
    <w:rsid w:val="00B56AA4"/>
    <w:pPr>
      <w:numPr>
        <w:numId w:val="5"/>
      </w:numPr>
      <w:contextualSpacing/>
    </w:pPr>
  </w:style>
  <w:style w:type="paragraph" w:styleId="NoSpacing">
    <w:name w:val="No Spacing"/>
    <w:uiPriority w:val="1"/>
    <w:qFormat/>
    <w:rsid w:val="00FD36FE"/>
    <w:pPr>
      <w:ind w:left="0" w:firstLine="0"/>
    </w:pPr>
    <w:rPr>
      <w:rFonts w:asciiTheme="minorHAnsi" w:hAnsiTheme="minorHAnsi" w:cstheme="minorBidi"/>
      <w:color w:val="auto"/>
      <w:sz w:val="22"/>
      <w:szCs w:val="22"/>
    </w:rPr>
  </w:style>
  <w:style w:type="character" w:styleId="Hyperlink">
    <w:name w:val="Hyperlink"/>
    <w:basedOn w:val="DefaultParagraphFont"/>
    <w:uiPriority w:val="99"/>
    <w:unhideWhenUsed/>
    <w:rsid w:val="00FD36FE"/>
    <w:rPr>
      <w:color w:val="0563C1" w:themeColor="hyperlink"/>
      <w:u w:val="single"/>
    </w:rPr>
  </w:style>
  <w:style w:type="character" w:styleId="CommentReference">
    <w:name w:val="annotation reference"/>
    <w:basedOn w:val="DefaultParagraphFont"/>
    <w:uiPriority w:val="99"/>
    <w:semiHidden/>
    <w:unhideWhenUsed/>
    <w:rsid w:val="00FD36FE"/>
    <w:rPr>
      <w:sz w:val="16"/>
      <w:szCs w:val="16"/>
    </w:rPr>
  </w:style>
  <w:style w:type="paragraph" w:styleId="CommentText">
    <w:name w:val="annotation text"/>
    <w:basedOn w:val="Normal"/>
    <w:link w:val="CommentTextChar"/>
    <w:uiPriority w:val="99"/>
    <w:semiHidden/>
    <w:unhideWhenUsed/>
    <w:rsid w:val="00FD36FE"/>
    <w:pPr>
      <w:spacing w:after="200"/>
      <w:ind w:left="0" w:firstLine="0"/>
    </w:pPr>
    <w:rPr>
      <w:rFonts w:asciiTheme="minorHAnsi" w:hAnsiTheme="minorHAnsi" w:cstheme="minorBidi"/>
      <w:color w:val="auto"/>
      <w:sz w:val="20"/>
    </w:rPr>
  </w:style>
  <w:style w:type="character" w:customStyle="1" w:styleId="CommentTextChar">
    <w:name w:val="Comment Text Char"/>
    <w:basedOn w:val="DefaultParagraphFont"/>
    <w:link w:val="CommentText"/>
    <w:uiPriority w:val="99"/>
    <w:semiHidden/>
    <w:rsid w:val="00FD36FE"/>
    <w:rPr>
      <w:rFonts w:asciiTheme="minorHAnsi" w:hAnsiTheme="minorHAnsi" w:cstheme="minorBidi"/>
      <w:color w:val="auto"/>
      <w:sz w:val="20"/>
    </w:rPr>
  </w:style>
  <w:style w:type="character" w:styleId="UnresolvedMention">
    <w:name w:val="Unresolved Mention"/>
    <w:basedOn w:val="DefaultParagraphFont"/>
    <w:uiPriority w:val="99"/>
    <w:semiHidden/>
    <w:unhideWhenUsed/>
    <w:rsid w:val="00002EE0"/>
    <w:rPr>
      <w:color w:val="605E5C"/>
      <w:shd w:val="clear" w:color="auto" w:fill="E1DFDD"/>
    </w:rPr>
  </w:style>
  <w:style w:type="character" w:styleId="FollowedHyperlink">
    <w:name w:val="FollowedHyperlink"/>
    <w:basedOn w:val="DefaultParagraphFont"/>
    <w:uiPriority w:val="99"/>
    <w:semiHidden/>
    <w:unhideWhenUsed/>
    <w:rsid w:val="00002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2744">
      <w:bodyDiv w:val="1"/>
      <w:marLeft w:val="0"/>
      <w:marRight w:val="0"/>
      <w:marTop w:val="0"/>
      <w:marBottom w:val="0"/>
      <w:divBdr>
        <w:top w:val="none" w:sz="0" w:space="0" w:color="auto"/>
        <w:left w:val="none" w:sz="0" w:space="0" w:color="auto"/>
        <w:bottom w:val="none" w:sz="0" w:space="0" w:color="auto"/>
        <w:right w:val="none" w:sz="0" w:space="0" w:color="auto"/>
      </w:divBdr>
    </w:div>
    <w:div w:id="951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erth.uhi.ac.uk/t4-media/one-web/perth/about-us/policies-regulations-and-guidelines/records-management-policy-and-procedure.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perth@uhi.ac.uk"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dataprotectionofficer@uhi.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Title xmlns="03f46c01-b9b5-4343-a642-6d8981fd005f" xsi:nil="true"/>
    <Notes xmlns="03f46c01-b9b5-4343-a642-6d8981fd00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84795B0C68446A38155528F01B476" ma:contentTypeVersion="8" ma:contentTypeDescription="Create a new document." ma:contentTypeScope="" ma:versionID="17a7116a2bd2c9c48014e48e87e6fb9d">
  <xsd:schema xmlns:xsd="http://www.w3.org/2001/XMLSchema" xmlns:xs="http://www.w3.org/2001/XMLSchema" xmlns:p="http://schemas.microsoft.com/office/2006/metadata/properties" xmlns:ns2="e9c027e9-1d21-4354-8a8e-ced30bf7a34e" xmlns:ns3="03f46c01-b9b5-4343-a642-6d8981fd005f" targetNamespace="http://schemas.microsoft.com/office/2006/metadata/properties" ma:root="true" ma:fieldsID="dcb94995c30ba52e982d61487c6d5d41" ns2:_="" ns3:_="">
    <xsd:import namespace="e9c027e9-1d21-4354-8a8e-ced30bf7a34e"/>
    <xsd:import namespace="03f46c01-b9b5-4343-a642-6d8981fd00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ocumentTitle"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027e9-1d21-4354-8a8e-ced30bf7a3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46c01-b9b5-4343-a642-6d8981fd00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ocumentTitle" ma:index="14" nillable="true" ma:displayName="Document Title" ma:format="Dropdown" ma:internalName="DocumentTitle">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5B1D7-2265-4BFA-AAE0-5B6D42087EE2}">
  <ds:schemaRefs>
    <ds:schemaRef ds:uri="http://schemas.microsoft.com/office/2006/metadata/properties"/>
    <ds:schemaRef ds:uri="http://schemas.microsoft.com/sharepoint/v3"/>
    <ds:schemaRef ds:uri="03f46c01-b9b5-4343-a642-6d8981fd005f"/>
  </ds:schemaRefs>
</ds:datastoreItem>
</file>

<file path=customXml/itemProps2.xml><?xml version="1.0" encoding="utf-8"?>
<ds:datastoreItem xmlns:ds="http://schemas.openxmlformats.org/officeDocument/2006/customXml" ds:itemID="{6F52980D-018B-4F98-B971-723A53005CE7}">
  <ds:schemaRefs>
    <ds:schemaRef ds:uri="http://schemas.microsoft.com/sharepoint/v3/contenttype/forms"/>
  </ds:schemaRefs>
</ds:datastoreItem>
</file>

<file path=customXml/itemProps3.xml><?xml version="1.0" encoding="utf-8"?>
<ds:datastoreItem xmlns:ds="http://schemas.openxmlformats.org/officeDocument/2006/customXml" ds:itemID="{D1A1DFAC-29C4-4841-872F-351889A7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027e9-1d21-4354-8a8e-ced30bf7a34e"/>
    <ds:schemaRef ds:uri="03f46c01-b9b5-4343-a642-6d8981fd0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5589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UHI Perth Language School</dc:title>
  <dc:subject/>
  <dc:creator>Blanche Haddow</dc:creator>
  <cp:keywords/>
  <dc:description/>
  <cp:lastModifiedBy>Vickie Johnstone</cp:lastModifiedBy>
  <cp:revision>2</cp:revision>
  <cp:lastPrinted>2018-03-30T11:56:00Z</cp:lastPrinted>
  <dcterms:created xsi:type="dcterms:W3CDTF">2023-03-08T14:48:00Z</dcterms:created>
  <dcterms:modified xsi:type="dcterms:W3CDTF">2023-03-08T14:48:00Z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0x01010011084795B0C68446A38155528F01B476</vt:lpwstr>
  </property>
</Properties>
</file>